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5637"/>
        <w:gridCol w:w="3685"/>
        <w:gridCol w:w="4536"/>
      </w:tblGrid>
      <w:tr w:rsidR="00523D82" w:rsidRPr="004557E8" w14:paraId="6A46C7AA" w14:textId="77777777" w:rsidTr="003E017A">
        <w:tc>
          <w:tcPr>
            <w:tcW w:w="5637" w:type="dxa"/>
            <w:hideMark/>
          </w:tcPr>
          <w:p w14:paraId="03183901" w14:textId="77777777" w:rsidR="007E1D85" w:rsidRPr="00913039" w:rsidRDefault="007E1D85" w:rsidP="003E017A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hideMark/>
          </w:tcPr>
          <w:p w14:paraId="534F9030" w14:textId="77777777" w:rsidR="00511923" w:rsidRPr="004557E8" w:rsidRDefault="00511923" w:rsidP="003E01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2E5B5D74" w14:textId="77777777" w:rsidR="00511923" w:rsidRPr="004557E8" w:rsidRDefault="00511923" w:rsidP="003E01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021CF7B9" w14:textId="77777777" w:rsidR="00511923" w:rsidRPr="004557E8" w:rsidRDefault="00511923" w:rsidP="003E01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«Комитет медицинского и фармацевтического контроля</w:t>
            </w:r>
          </w:p>
          <w:p w14:paraId="2C5819BF" w14:textId="77777777" w:rsidR="00511923" w:rsidRPr="004557E8" w:rsidRDefault="00511923" w:rsidP="003E017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557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4557E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4AE08E4D" w14:textId="77777777" w:rsidR="00511923" w:rsidRPr="004557E8" w:rsidRDefault="00511923" w:rsidP="003E017A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Казахстан»</w:t>
            </w:r>
          </w:p>
          <w:p w14:paraId="13D80EED" w14:textId="77777777" w:rsidR="006D4AE0" w:rsidRPr="006D4AE0" w:rsidRDefault="006D4AE0" w:rsidP="006D4A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 «</w:t>
            </w:r>
            <w:proofErr w:type="gramStart"/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31</w:t>
            </w: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»</w:t>
            </w: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 xml:space="preserve">   </w:t>
            </w:r>
            <w:proofErr w:type="gramEnd"/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 xml:space="preserve">01   </w:t>
            </w: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20</w:t>
            </w: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 xml:space="preserve">25 </w:t>
            </w: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</w:t>
            </w:r>
          </w:p>
          <w:p w14:paraId="1A23EC9A" w14:textId="570E3E71" w:rsidR="00523D82" w:rsidRPr="006D4AE0" w:rsidRDefault="006D4AE0" w:rsidP="006D4AE0">
            <w:pPr>
              <w:suppressAutoHyphens/>
              <w:autoSpaceDE w:val="0"/>
              <w:autoSpaceDN w:val="0"/>
              <w:spacing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</w:pP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ED5A1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Pr="006D4AE0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N083368</w:t>
            </w:r>
          </w:p>
        </w:tc>
        <w:tc>
          <w:tcPr>
            <w:tcW w:w="4536" w:type="dxa"/>
          </w:tcPr>
          <w:p w14:paraId="6F389F5E" w14:textId="77777777" w:rsidR="00523D82" w:rsidRPr="004557E8" w:rsidRDefault="00D46B0B" w:rsidP="003E0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4557E8" w14:paraId="14E4BC4C" w14:textId="77777777" w:rsidTr="003E017A">
        <w:tc>
          <w:tcPr>
            <w:tcW w:w="5637" w:type="dxa"/>
          </w:tcPr>
          <w:p w14:paraId="3866C1F7" w14:textId="77777777" w:rsidR="00523D82" w:rsidRPr="004557E8" w:rsidRDefault="00523D82" w:rsidP="003E017A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592BE836" w14:textId="77777777" w:rsidR="00523D82" w:rsidRPr="004557E8" w:rsidRDefault="00523D82" w:rsidP="003E017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4784466" w14:textId="77777777" w:rsidR="00523D82" w:rsidRPr="004557E8" w:rsidRDefault="00523D82" w:rsidP="003E01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26186EC7" w14:textId="77777777" w:rsidR="00D76048" w:rsidRPr="004557E8" w:rsidRDefault="00506C9D" w:rsidP="003E017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125E807E" w14:textId="77777777" w:rsidR="00232642" w:rsidRPr="004557E8" w:rsidRDefault="00372082" w:rsidP="003E017A">
      <w:pPr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</w:rPr>
        <w:t xml:space="preserve"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 </w:t>
      </w:r>
    </w:p>
    <w:p w14:paraId="4E741E17" w14:textId="77777777" w:rsidR="00372082" w:rsidRPr="004557E8" w:rsidRDefault="00372082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B33AA9" w14:textId="77777777" w:rsidR="00280121" w:rsidRPr="004557E8" w:rsidRDefault="00DB406A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11DE4B3A" w14:textId="77777777" w:rsidR="00B01011" w:rsidRPr="004557E8" w:rsidRDefault="00E16046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proofErr w:type="spellStart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>Тафтеноф</w:t>
      </w:r>
      <w:proofErr w:type="spellEnd"/>
      <w:r w:rsidR="00F51C1E" w:rsidRPr="004557E8">
        <w:rPr>
          <w:rFonts w:ascii="Times New Roman" w:eastAsia="Times New Roman" w:hAnsi="Times New Roman"/>
          <w:sz w:val="24"/>
          <w:szCs w:val="24"/>
          <w:lang w:val="kk-KZ" w:eastAsia="ru-RU"/>
        </w:rPr>
        <w:t>, таблетки, покрытые пленочной оболочкой</w:t>
      </w:r>
      <w:r w:rsidR="00BA4D71" w:rsidRPr="004557E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="00F51C1E" w:rsidRPr="004557E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25 мг</w:t>
      </w:r>
    </w:p>
    <w:p w14:paraId="17F89DC8" w14:textId="77777777" w:rsidR="00F51C1E" w:rsidRPr="004557E8" w:rsidRDefault="00F51C1E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9AD7D" w14:textId="77777777" w:rsidR="003C07E3" w:rsidRPr="004557E8" w:rsidRDefault="003C07E3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4F117837" w14:textId="77777777" w:rsidR="001872CE" w:rsidRPr="004557E8" w:rsidRDefault="001872CE" w:rsidP="003E017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4557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C3DADB8" w14:textId="77777777" w:rsidR="00F51C1E" w:rsidRPr="004557E8" w:rsidRDefault="00F51C1E" w:rsidP="003E017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_Hlk145406423"/>
      <w:proofErr w:type="spellStart"/>
      <w:r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</w:t>
      </w:r>
      <w:r w:rsidR="009D274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spellEnd"/>
      <w:r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bookmarkEnd w:id="2"/>
    <w:p w14:paraId="153E6096" w14:textId="77777777" w:rsidR="00D60C5A" w:rsidRPr="004557E8" w:rsidRDefault="00D60C5A" w:rsidP="003E017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150C0DF9" w14:textId="77777777" w:rsidR="00A074C5" w:rsidRPr="004557E8" w:rsidRDefault="00A074C5" w:rsidP="003E0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 содержит</w:t>
      </w:r>
      <w:r w:rsidR="00AF28F4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0A80B4C5" w14:textId="77777777" w:rsidR="00AF28F4" w:rsidRPr="004557E8" w:rsidRDefault="00A074C5" w:rsidP="003E0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bookmarkStart w:id="3" w:name="_Hlk145406418"/>
      <w:r w:rsidR="00F51C1E" w:rsidRPr="004557E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т</w:t>
      </w:r>
      <w:proofErr w:type="spellStart"/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енофовира</w:t>
      </w:r>
      <w:proofErr w:type="spellEnd"/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фумарат</w:t>
      </w:r>
      <w:proofErr w:type="spellEnd"/>
      <w:r w:rsidR="00AF28F4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эквивалентно </w:t>
      </w:r>
      <w:proofErr w:type="spellStart"/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тенофовиру</w:t>
      </w:r>
      <w:proofErr w:type="spellEnd"/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F51C1E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алафенамиду</w:t>
      </w:r>
      <w:proofErr w:type="spellEnd"/>
      <w:r w:rsidR="00AF28F4"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25.000 мг.</w:t>
      </w:r>
      <w:bookmarkEnd w:id="3"/>
    </w:p>
    <w:p w14:paraId="06A39C99" w14:textId="77777777" w:rsidR="00A074C5" w:rsidRPr="004557E8" w:rsidRDefault="00594C13" w:rsidP="003E017A">
      <w:pPr>
        <w:tabs>
          <w:tab w:val="left" w:pos="4330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557E8">
        <w:rPr>
          <w:rFonts w:ascii="Times New Roman" w:hAnsi="Times New Roman"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препарата:</w:t>
      </w:r>
      <w:r w:rsidRPr="004557E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>лактозы моногидрат (</w:t>
      </w:r>
      <w:r w:rsidR="00AF28F4" w:rsidRPr="004557E8">
        <w:rPr>
          <w:rFonts w:ascii="Times New Roman" w:hAnsi="Times New Roman"/>
          <w:spacing w:val="-2"/>
          <w:sz w:val="24"/>
          <w:szCs w:val="24"/>
          <w:lang w:val="en-US"/>
        </w:rPr>
        <w:t>Super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F28F4" w:rsidRPr="004557E8">
        <w:rPr>
          <w:rFonts w:ascii="Times New Roman" w:hAnsi="Times New Roman"/>
          <w:spacing w:val="-2"/>
          <w:sz w:val="24"/>
          <w:szCs w:val="24"/>
          <w:lang w:val="en-US"/>
        </w:rPr>
        <w:t>tab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 xml:space="preserve"> 30 </w:t>
      </w:r>
      <w:r w:rsidR="00AF28F4" w:rsidRPr="004557E8">
        <w:rPr>
          <w:rFonts w:ascii="Times New Roman" w:hAnsi="Times New Roman"/>
          <w:spacing w:val="-2"/>
          <w:sz w:val="24"/>
          <w:szCs w:val="24"/>
          <w:lang w:val="en-US"/>
        </w:rPr>
        <w:t>GR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>)</w:t>
      </w:r>
      <w:r w:rsidR="00B13EAE" w:rsidRPr="004557E8">
        <w:rPr>
          <w:rFonts w:ascii="Times New Roman" w:hAnsi="Times New Roman"/>
          <w:spacing w:val="-2"/>
          <w:sz w:val="24"/>
          <w:szCs w:val="24"/>
        </w:rPr>
        <w:t xml:space="preserve"> 95.00 мг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AF28F4" w:rsidRPr="004557E8">
        <w:rPr>
          <w:rFonts w:ascii="Times New Roman" w:hAnsi="Times New Roman"/>
          <w:spacing w:val="-2"/>
          <w:sz w:val="24"/>
          <w:szCs w:val="24"/>
          <w:lang w:val="kk-KZ"/>
        </w:rPr>
        <w:t xml:space="preserve">натрия кроскармеллоза 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>(</w:t>
      </w:r>
      <w:r w:rsidR="00AF28F4" w:rsidRPr="004557E8">
        <w:rPr>
          <w:rFonts w:ascii="Times New Roman" w:hAnsi="Times New Roman"/>
          <w:spacing w:val="-2"/>
          <w:sz w:val="24"/>
          <w:szCs w:val="24"/>
          <w:lang w:val="en-US"/>
        </w:rPr>
        <w:t>Ac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>-</w:t>
      </w:r>
      <w:r w:rsidR="00AF28F4" w:rsidRPr="004557E8">
        <w:rPr>
          <w:rFonts w:ascii="Times New Roman" w:hAnsi="Times New Roman"/>
          <w:spacing w:val="-2"/>
          <w:sz w:val="24"/>
          <w:szCs w:val="24"/>
          <w:lang w:val="en-US"/>
        </w:rPr>
        <w:t>Di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>-</w:t>
      </w:r>
      <w:r w:rsidR="00AF28F4" w:rsidRPr="004557E8">
        <w:rPr>
          <w:rFonts w:ascii="Times New Roman" w:hAnsi="Times New Roman"/>
          <w:spacing w:val="-2"/>
          <w:sz w:val="24"/>
          <w:szCs w:val="24"/>
          <w:lang w:val="en-US"/>
        </w:rPr>
        <w:t>Sol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>)</w:t>
      </w:r>
      <w:r w:rsidR="00B13EAE" w:rsidRPr="004557E8">
        <w:rPr>
          <w:rFonts w:ascii="Times New Roman" w:hAnsi="Times New Roman"/>
          <w:spacing w:val="-2"/>
          <w:sz w:val="24"/>
          <w:szCs w:val="24"/>
        </w:rPr>
        <w:t xml:space="preserve"> 10.00 мг</w:t>
      </w:r>
      <w:r w:rsidR="00AF28F4" w:rsidRPr="004557E8">
        <w:rPr>
          <w:rFonts w:ascii="Times New Roman" w:hAnsi="Times New Roman"/>
          <w:spacing w:val="-2"/>
          <w:sz w:val="24"/>
          <w:szCs w:val="24"/>
        </w:rPr>
        <w:t>.</w:t>
      </w:r>
    </w:p>
    <w:p w14:paraId="4DBB4172" w14:textId="77777777" w:rsidR="003C07E3" w:rsidRPr="004557E8" w:rsidRDefault="00E75FFF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4557E8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4557E8">
        <w:rPr>
          <w:rFonts w:ascii="Times New Roman" w:hAnsi="Times New Roman"/>
          <w:sz w:val="24"/>
          <w:szCs w:val="24"/>
          <w:lang w:eastAsia="ru-RU"/>
        </w:rPr>
        <w:t>.</w:t>
      </w:r>
    </w:p>
    <w:p w14:paraId="23CA7E2B" w14:textId="77777777" w:rsidR="00546519" w:rsidRPr="004557E8" w:rsidRDefault="00546519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86"/>
    </w:p>
    <w:p w14:paraId="2A57039A" w14:textId="77777777" w:rsidR="00B7231F" w:rsidRPr="004557E8" w:rsidRDefault="00B7231F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4"/>
    <w:p w14:paraId="6731E576" w14:textId="77777777" w:rsidR="00B7231F" w:rsidRPr="004557E8" w:rsidRDefault="00F51C1E" w:rsidP="003E0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4557E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Таблетки, покрытые пленочной оболочкой</w:t>
      </w:r>
      <w:r w:rsidR="00931CB3" w:rsidRPr="004557E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, 25 мг.</w:t>
      </w:r>
    </w:p>
    <w:p w14:paraId="003CDAC1" w14:textId="77777777" w:rsidR="00931CB3" w:rsidRPr="004557E8" w:rsidRDefault="00931CB3" w:rsidP="003E0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bookmarkStart w:id="5" w:name="_Hlk145407007"/>
      <w:r w:rsidRPr="004557E8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>Таблетки круглой формы, покрытые пленочной оболочкой белого или почти белого цвета с оттиском «</w:t>
      </w:r>
      <w:r w:rsidRPr="004557E8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val="en-US" w:eastAsia="hu-HU"/>
        </w:rPr>
        <w:t>L</w:t>
      </w:r>
      <w:r w:rsidRPr="004557E8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>3» на одной стороне и гладкие с другой</w:t>
      </w:r>
      <w:r w:rsidRPr="004557E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.</w:t>
      </w:r>
    </w:p>
    <w:bookmarkEnd w:id="5"/>
    <w:p w14:paraId="39A0CD65" w14:textId="77777777" w:rsidR="00F51C1E" w:rsidRPr="004557E8" w:rsidRDefault="00F51C1E" w:rsidP="003E0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68F466C5" w14:textId="77777777" w:rsidR="00546519" w:rsidRPr="004557E8" w:rsidRDefault="00B7231F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03177BF2" w14:textId="77777777" w:rsidR="005444B2" w:rsidRPr="004557E8" w:rsidRDefault="00B7231F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4557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4557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4557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4557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36FAA75D" w14:textId="77777777" w:rsidR="00931CB3" w:rsidRPr="004557E8" w:rsidRDefault="00931CB3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2175220274"/>
      <w:r w:rsidRPr="004557E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показан для лечения хронического гепатита В у взрослых и </w:t>
      </w:r>
      <w:r w:rsidR="00ED5444" w:rsidRPr="004557E8">
        <w:rPr>
          <w:rFonts w:ascii="Times New Roman" w:hAnsi="Times New Roman"/>
          <w:sz w:val="24"/>
          <w:szCs w:val="24"/>
        </w:rPr>
        <w:t>детей от 6 лет и старше</w:t>
      </w:r>
      <w:r w:rsidRPr="004557E8">
        <w:rPr>
          <w:rFonts w:ascii="Times New Roman" w:hAnsi="Times New Roman"/>
          <w:sz w:val="24"/>
          <w:szCs w:val="24"/>
        </w:rPr>
        <w:t xml:space="preserve"> </w:t>
      </w:r>
      <w:r w:rsidR="00546519" w:rsidRPr="004557E8">
        <w:rPr>
          <w:rFonts w:ascii="Times New Roman" w:hAnsi="Times New Roman"/>
          <w:sz w:val="24"/>
          <w:szCs w:val="24"/>
        </w:rPr>
        <w:t>с массой тела ≥</w:t>
      </w:r>
      <w:r w:rsidR="00ED5444" w:rsidRPr="004557E8">
        <w:rPr>
          <w:rFonts w:ascii="Times New Roman" w:hAnsi="Times New Roman"/>
          <w:sz w:val="24"/>
          <w:szCs w:val="24"/>
        </w:rPr>
        <w:t xml:space="preserve"> 25</w:t>
      </w:r>
      <w:r w:rsidRPr="004557E8">
        <w:rPr>
          <w:rFonts w:ascii="Times New Roman" w:hAnsi="Times New Roman"/>
          <w:sz w:val="24"/>
          <w:szCs w:val="24"/>
        </w:rPr>
        <w:t xml:space="preserve"> кг</w:t>
      </w:r>
      <w:r w:rsidR="00ED5444" w:rsidRPr="004557E8">
        <w:rPr>
          <w:rFonts w:ascii="Times New Roman" w:hAnsi="Times New Roman"/>
          <w:sz w:val="24"/>
          <w:szCs w:val="24"/>
        </w:rPr>
        <w:t xml:space="preserve"> (см. раздел 5.1).</w:t>
      </w:r>
    </w:p>
    <w:p w14:paraId="48F37A52" w14:textId="77777777" w:rsidR="00546519" w:rsidRPr="004557E8" w:rsidRDefault="00546519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A87CF9" w14:textId="77777777" w:rsidR="00B7231F" w:rsidRPr="004557E8" w:rsidRDefault="00B7231F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3DCF267D" w14:textId="77777777" w:rsidR="00891EB8" w:rsidRPr="004557E8" w:rsidRDefault="00B7231F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6"/>
    <w:p w14:paraId="4F044E92" w14:textId="77777777" w:rsidR="00507581" w:rsidRPr="004557E8" w:rsidRDefault="0050758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Лечение должно быть инициировано врачом, имеющим опыт лечения хронического гепатита В.</w:t>
      </w:r>
    </w:p>
    <w:p w14:paraId="7347039D" w14:textId="77777777" w:rsidR="00931CB3" w:rsidRPr="004557E8" w:rsidRDefault="00931CB3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таблетки, покрытые пленочной оболочкой, 25 мг, рекомендуется принимать взрослым и </w:t>
      </w:r>
      <w:r w:rsidR="003B40D5" w:rsidRPr="004557E8">
        <w:rPr>
          <w:rFonts w:ascii="Times New Roman" w:hAnsi="Times New Roman"/>
          <w:sz w:val="24"/>
          <w:szCs w:val="24"/>
        </w:rPr>
        <w:t>детям</w:t>
      </w:r>
      <w:r w:rsidRPr="004557E8">
        <w:rPr>
          <w:rFonts w:ascii="Times New Roman" w:hAnsi="Times New Roman"/>
          <w:sz w:val="24"/>
          <w:szCs w:val="24"/>
        </w:rPr>
        <w:t xml:space="preserve"> (в возрасте от </w:t>
      </w:r>
      <w:r w:rsidR="003B40D5" w:rsidRPr="004557E8">
        <w:rPr>
          <w:rFonts w:ascii="Times New Roman" w:hAnsi="Times New Roman"/>
          <w:sz w:val="24"/>
          <w:szCs w:val="24"/>
        </w:rPr>
        <w:t>6</w:t>
      </w:r>
      <w:r w:rsidRPr="004557E8">
        <w:rPr>
          <w:rFonts w:ascii="Times New Roman" w:hAnsi="Times New Roman"/>
          <w:sz w:val="24"/>
          <w:szCs w:val="24"/>
        </w:rPr>
        <w:t xml:space="preserve"> лет и старше с массой тела не менее </w:t>
      </w:r>
      <w:r w:rsidR="003B40D5" w:rsidRPr="004557E8">
        <w:rPr>
          <w:rFonts w:ascii="Times New Roman" w:hAnsi="Times New Roman"/>
          <w:sz w:val="24"/>
          <w:szCs w:val="24"/>
        </w:rPr>
        <w:t>2</w:t>
      </w:r>
      <w:r w:rsidRPr="004557E8">
        <w:rPr>
          <w:rFonts w:ascii="Times New Roman" w:hAnsi="Times New Roman"/>
          <w:sz w:val="24"/>
          <w:szCs w:val="24"/>
        </w:rPr>
        <w:t>5 кг</w:t>
      </w:r>
      <w:r w:rsidRPr="004557E8" w:rsidDel="00935747">
        <w:rPr>
          <w:rFonts w:ascii="Times New Roman" w:hAnsi="Times New Roman"/>
          <w:sz w:val="24"/>
          <w:szCs w:val="24"/>
        </w:rPr>
        <w:t>)</w:t>
      </w:r>
      <w:r w:rsidRPr="004557E8">
        <w:rPr>
          <w:rFonts w:ascii="Times New Roman" w:hAnsi="Times New Roman"/>
          <w:sz w:val="24"/>
          <w:szCs w:val="24"/>
        </w:rPr>
        <w:t>: по одной таблетке один раз в сутки перорально.</w:t>
      </w:r>
    </w:p>
    <w:p w14:paraId="0662904E" w14:textId="77777777" w:rsidR="00507581" w:rsidRPr="004557E8" w:rsidRDefault="00507581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Прекращение лечения препаратом</w:t>
      </w:r>
    </w:p>
    <w:p w14:paraId="0E46B3F7" w14:textId="77777777" w:rsidR="00507581" w:rsidRPr="004557E8" w:rsidRDefault="0050758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При прекращении лечения препаратом необходимо учитывать следующее (см. раздел </w:t>
      </w:r>
      <w:r w:rsidR="00931CB3" w:rsidRPr="004557E8">
        <w:rPr>
          <w:rFonts w:ascii="Times New Roman" w:hAnsi="Times New Roman"/>
          <w:sz w:val="24"/>
          <w:szCs w:val="24"/>
        </w:rPr>
        <w:t>4.4.</w:t>
      </w:r>
      <w:r w:rsidRPr="004557E8">
        <w:rPr>
          <w:rFonts w:ascii="Times New Roman" w:hAnsi="Times New Roman"/>
          <w:sz w:val="24"/>
          <w:szCs w:val="24"/>
        </w:rPr>
        <w:t>):</w:t>
      </w:r>
    </w:p>
    <w:p w14:paraId="4972C3FA" w14:textId="77777777" w:rsidR="00507581" w:rsidRPr="004557E8" w:rsidRDefault="00507581" w:rsidP="003E017A">
      <w:pPr>
        <w:pStyle w:val="ad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7E8">
        <w:rPr>
          <w:rFonts w:ascii="Times New Roman" w:hAnsi="Times New Roman"/>
          <w:sz w:val="24"/>
          <w:szCs w:val="24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</w:rPr>
        <w:t>-положительным пациентам без цирроза, лечение следует принимать не менее 6</w:t>
      </w:r>
      <w:r w:rsidRPr="004557E8">
        <w:rPr>
          <w:rFonts w:ascii="Times New Roman" w:hAnsi="Times New Roman"/>
          <w:sz w:val="24"/>
          <w:szCs w:val="24"/>
          <w:cs/>
        </w:rPr>
        <w:t>–</w:t>
      </w:r>
      <w:r w:rsidRPr="004557E8">
        <w:rPr>
          <w:rFonts w:ascii="Times New Roman" w:hAnsi="Times New Roman"/>
          <w:sz w:val="24"/>
          <w:szCs w:val="24"/>
        </w:rPr>
        <w:t xml:space="preserve">12 месяцев после подтверждения </w:t>
      </w:r>
      <w:proofErr w:type="spellStart"/>
      <w:r w:rsidRPr="004557E8">
        <w:rPr>
          <w:rFonts w:ascii="Times New Roman" w:hAnsi="Times New Roman"/>
          <w:sz w:val="24"/>
          <w:szCs w:val="24"/>
        </w:rPr>
        <w:t>сероконверсии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HBe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(отсутствия </w:t>
      </w:r>
      <w:proofErr w:type="spellStart"/>
      <w:r w:rsidRPr="004557E8">
        <w:rPr>
          <w:rFonts w:ascii="Times New Roman" w:hAnsi="Times New Roman"/>
          <w:sz w:val="24"/>
          <w:szCs w:val="24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отсутствия ДНК ВГВ при наличии анти-</w:t>
      </w:r>
      <w:proofErr w:type="spellStart"/>
      <w:r w:rsidRPr="004557E8">
        <w:rPr>
          <w:rFonts w:ascii="Times New Roman" w:hAnsi="Times New Roman"/>
          <w:sz w:val="24"/>
          <w:szCs w:val="24"/>
        </w:rPr>
        <w:t>HBe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), или до подтверждения </w:t>
      </w:r>
      <w:proofErr w:type="spellStart"/>
      <w:r w:rsidRPr="004557E8">
        <w:rPr>
          <w:rFonts w:ascii="Times New Roman" w:hAnsi="Times New Roman"/>
          <w:sz w:val="24"/>
          <w:szCs w:val="24"/>
        </w:rPr>
        <w:lastRenderedPageBreak/>
        <w:t>HBs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сероконверсии</w:t>
      </w:r>
      <w:proofErr w:type="spellEnd"/>
      <w:r w:rsidRPr="004557E8">
        <w:rPr>
          <w:rFonts w:ascii="Times New Roman" w:hAnsi="Times New Roman"/>
          <w:sz w:val="24"/>
          <w:szCs w:val="24"/>
        </w:rPr>
        <w:t>, или при доказанном снижении эффективности (см. раздел </w:t>
      </w:r>
      <w:r w:rsidR="00931CB3" w:rsidRPr="004557E8">
        <w:rPr>
          <w:rFonts w:ascii="Times New Roman" w:hAnsi="Times New Roman"/>
          <w:sz w:val="24"/>
          <w:szCs w:val="24"/>
        </w:rPr>
        <w:t>4.4</w:t>
      </w:r>
      <w:r w:rsidRPr="004557E8">
        <w:rPr>
          <w:rFonts w:ascii="Times New Roman" w:hAnsi="Times New Roman"/>
          <w:sz w:val="24"/>
          <w:szCs w:val="24"/>
        </w:rPr>
        <w:t>). После отмены лечения препаратом рекомендуется регулярное повторное наблюдение для обнаружения вирусологического рецидива.</w:t>
      </w:r>
    </w:p>
    <w:p w14:paraId="52D51EF8" w14:textId="77777777" w:rsidR="00507581" w:rsidRPr="004557E8" w:rsidRDefault="00507581" w:rsidP="003E017A">
      <w:pPr>
        <w:pStyle w:val="ad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7E8">
        <w:rPr>
          <w:rFonts w:ascii="Times New Roman" w:hAnsi="Times New Roman"/>
          <w:sz w:val="24"/>
          <w:szCs w:val="24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-отрицательным пациентам без цирроза, лечение препаратом следует принимать, по крайней мере, до </w:t>
      </w:r>
      <w:proofErr w:type="spellStart"/>
      <w:r w:rsidRPr="004557E8">
        <w:rPr>
          <w:rFonts w:ascii="Times New Roman" w:hAnsi="Times New Roman"/>
          <w:sz w:val="24"/>
          <w:szCs w:val="24"/>
        </w:rPr>
        <w:t>HBs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сероконверсии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или до тех пор, пока не будет доказана потеря эффективности. В случае длительного лечения, более 2 лет, рекомендуется продолжать регулярное повторное наблюдение, для подтверждения продолжения выбранной надлежащей терапии для пациента. </w:t>
      </w:r>
    </w:p>
    <w:p w14:paraId="5511DF11" w14:textId="77777777" w:rsidR="00507581" w:rsidRPr="004557E8" w:rsidRDefault="00507581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Пропущенная доза</w:t>
      </w:r>
    </w:p>
    <w:p w14:paraId="29A77A40" w14:textId="77777777" w:rsidR="00931CB3" w:rsidRPr="004557E8" w:rsidRDefault="00931CB3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557E8">
        <w:rPr>
          <w:rFonts w:ascii="Times New Roman" w:hAnsi="Times New Roman"/>
          <w:sz w:val="24"/>
          <w:szCs w:val="24"/>
          <w:lang w:val="pl-PL"/>
        </w:rPr>
        <w:t xml:space="preserve">Если доза была пропущена и прошло менее 18 часов со времени обычного приема, пациенту следует принять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  <w:lang w:val="pl-PL"/>
        </w:rPr>
        <w:t xml:space="preserve"> как можно быстрее, и после этого вернуться к обычному расписанию приема лекарств. Если прошло более 18 часов со времени обычного приема, пациенту не следует принимать пропущенную дозу, и следует просто вернуться к обычному расписанию приема лекарства.</w:t>
      </w:r>
    </w:p>
    <w:p w14:paraId="1909B262" w14:textId="77777777" w:rsidR="00931CB3" w:rsidRPr="004557E8" w:rsidRDefault="00931CB3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557E8">
        <w:rPr>
          <w:rFonts w:ascii="Times New Roman" w:hAnsi="Times New Roman"/>
          <w:sz w:val="24"/>
          <w:szCs w:val="24"/>
          <w:lang w:val="pl-PL"/>
        </w:rPr>
        <w:t xml:space="preserve">Если у пациента случается рвота в течение одного часа после приема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  <w:lang w:val="pl-PL"/>
        </w:rPr>
        <w:t>, ему следует принять еще одну таблетку. Если рвота случается более чем через час после приема тенофовира алафенамида, пациенту не следует принимать еще одну таблетку.</w:t>
      </w:r>
    </w:p>
    <w:p w14:paraId="240D17DE" w14:textId="77777777" w:rsidR="009F5A85" w:rsidRPr="004557E8" w:rsidRDefault="00B21CF0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25597751" w14:textId="77777777" w:rsidR="00724071" w:rsidRPr="004557E8" w:rsidRDefault="00724071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Пожилые пациенты</w:t>
      </w:r>
    </w:p>
    <w:p w14:paraId="744325D4" w14:textId="77777777" w:rsidR="00724071" w:rsidRPr="004557E8" w:rsidRDefault="0072407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Пациентам в возрасте 65 лет и старше, коррекция дозы препарата </w:t>
      </w:r>
      <w:proofErr w:type="spellStart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требуется</w:t>
      </w:r>
      <w:r w:rsidR="00321A4D" w:rsidRPr="004557E8">
        <w:rPr>
          <w:rFonts w:ascii="Times New Roman" w:hAnsi="Times New Roman"/>
          <w:sz w:val="24"/>
          <w:szCs w:val="24"/>
        </w:rPr>
        <w:t xml:space="preserve"> (см. раздел 5.2)</w:t>
      </w:r>
      <w:r w:rsidRPr="004557E8">
        <w:rPr>
          <w:rFonts w:ascii="Times New Roman" w:hAnsi="Times New Roman"/>
          <w:sz w:val="24"/>
          <w:szCs w:val="24"/>
        </w:rPr>
        <w:t>.</w:t>
      </w:r>
    </w:p>
    <w:p w14:paraId="4F0F3A30" w14:textId="77777777" w:rsidR="00724071" w:rsidRPr="004557E8" w:rsidRDefault="00F24A7C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Пациенты с почечной недостаточностью</w:t>
      </w:r>
    </w:p>
    <w:p w14:paraId="16382D2A" w14:textId="77777777" w:rsidR="00546519" w:rsidRPr="004557E8" w:rsidRDefault="0072407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Не требуется коррекция дозы препарата </w:t>
      </w:r>
      <w:proofErr w:type="spellStart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взрослым или подросткам (в возрасте от 12 лет и старше с массой тела не менее 35 кг) при расчетном клиренсе креатинина (КК) </w:t>
      </w:r>
      <w:r w:rsidRPr="004557E8">
        <w:rPr>
          <w:rFonts w:ascii="Times New Roman" w:hAnsi="Times New Roman"/>
          <w:noProof/>
          <w:color w:val="000000"/>
          <w:sz w:val="24"/>
          <w:szCs w:val="24"/>
        </w:rPr>
        <w:t>≥</w:t>
      </w:r>
      <w:r w:rsidRPr="004557E8">
        <w:rPr>
          <w:rFonts w:ascii="Times New Roman" w:hAnsi="Times New Roman"/>
          <w:sz w:val="24"/>
          <w:szCs w:val="24"/>
        </w:rPr>
        <w:t xml:space="preserve">15 мл/мин или пациентам с КК </w:t>
      </w:r>
      <w:r w:rsidRPr="004557E8">
        <w:rPr>
          <w:rFonts w:ascii="Times New Roman" w:hAnsi="Times New Roman"/>
          <w:noProof/>
          <w:sz w:val="24"/>
          <w:szCs w:val="24"/>
        </w:rPr>
        <w:t>&lt;</w:t>
      </w:r>
      <w:r w:rsidRPr="004557E8">
        <w:rPr>
          <w:rFonts w:ascii="Times New Roman" w:hAnsi="Times New Roman"/>
          <w:sz w:val="24"/>
          <w:szCs w:val="24"/>
        </w:rPr>
        <w:t xml:space="preserve">15 мл/мин, </w:t>
      </w:r>
      <w:r w:rsidR="00E54436" w:rsidRPr="004557E8">
        <w:rPr>
          <w:rFonts w:ascii="Times New Roman" w:hAnsi="Times New Roman"/>
          <w:sz w:val="24"/>
          <w:szCs w:val="24"/>
        </w:rPr>
        <w:t>находящихся на</w:t>
      </w:r>
      <w:r w:rsidRPr="004557E8">
        <w:rPr>
          <w:rFonts w:ascii="Times New Roman" w:hAnsi="Times New Roman"/>
          <w:sz w:val="24"/>
          <w:szCs w:val="24"/>
        </w:rPr>
        <w:t xml:space="preserve"> гемодиализ</w:t>
      </w:r>
      <w:r w:rsidR="00E54436" w:rsidRPr="004557E8">
        <w:rPr>
          <w:rFonts w:ascii="Times New Roman" w:hAnsi="Times New Roman"/>
          <w:sz w:val="24"/>
          <w:szCs w:val="24"/>
        </w:rPr>
        <w:t>е</w:t>
      </w:r>
      <w:r w:rsidRPr="004557E8">
        <w:rPr>
          <w:rFonts w:ascii="Times New Roman" w:hAnsi="Times New Roman"/>
          <w:sz w:val="24"/>
          <w:szCs w:val="24"/>
        </w:rPr>
        <w:t>.</w:t>
      </w:r>
    </w:p>
    <w:p w14:paraId="0429630D" w14:textId="77777777" w:rsidR="00724071" w:rsidRPr="004557E8" w:rsidRDefault="0072407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В дни проведения гемодиализа препарат </w:t>
      </w:r>
      <w:proofErr w:type="spellStart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>Тафтеноф</w:t>
      </w:r>
      <w:proofErr w:type="spellEnd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>следует принимать после завершения сеанса гемодиализа</w:t>
      </w:r>
      <w:r w:rsidR="00321A4D" w:rsidRPr="004557E8">
        <w:rPr>
          <w:rFonts w:ascii="Times New Roman" w:hAnsi="Times New Roman"/>
          <w:sz w:val="24"/>
          <w:szCs w:val="24"/>
        </w:rPr>
        <w:t xml:space="preserve"> (см. раздел 5.2)</w:t>
      </w:r>
      <w:r w:rsidRPr="004557E8">
        <w:rPr>
          <w:rFonts w:ascii="Times New Roman" w:hAnsi="Times New Roman"/>
          <w:sz w:val="24"/>
          <w:szCs w:val="24"/>
        </w:rPr>
        <w:t>.</w:t>
      </w:r>
    </w:p>
    <w:p w14:paraId="42C9A571" w14:textId="77777777" w:rsidR="00724071" w:rsidRPr="004557E8" w:rsidRDefault="0072407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Не рекомендуется прием препарата п</w:t>
      </w:r>
      <w:r w:rsidR="00546519" w:rsidRPr="004557E8">
        <w:rPr>
          <w:rFonts w:ascii="Times New Roman" w:hAnsi="Times New Roman"/>
          <w:sz w:val="24"/>
          <w:szCs w:val="24"/>
        </w:rPr>
        <w:t>ациентам с клиренсом креатинина</w:t>
      </w:r>
      <w:r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noProof/>
          <w:sz w:val="24"/>
          <w:szCs w:val="24"/>
        </w:rPr>
        <w:t>&lt;</w:t>
      </w:r>
      <w:r w:rsidRPr="004557E8">
        <w:rPr>
          <w:rFonts w:ascii="Times New Roman" w:hAnsi="Times New Roman"/>
          <w:sz w:val="24"/>
          <w:szCs w:val="24"/>
        </w:rPr>
        <w:t xml:space="preserve">15 мл/мин, которые не </w:t>
      </w:r>
      <w:r w:rsidR="00E54436" w:rsidRPr="004557E8">
        <w:rPr>
          <w:rFonts w:ascii="Times New Roman" w:hAnsi="Times New Roman"/>
          <w:sz w:val="24"/>
          <w:szCs w:val="24"/>
        </w:rPr>
        <w:t>находятся на</w:t>
      </w:r>
      <w:r w:rsidRPr="004557E8">
        <w:rPr>
          <w:rFonts w:ascii="Times New Roman" w:hAnsi="Times New Roman"/>
          <w:sz w:val="24"/>
          <w:szCs w:val="24"/>
        </w:rPr>
        <w:t xml:space="preserve"> гемодиализ</w:t>
      </w:r>
      <w:r w:rsidR="00E54436" w:rsidRPr="004557E8">
        <w:rPr>
          <w:rFonts w:ascii="Times New Roman" w:hAnsi="Times New Roman"/>
          <w:sz w:val="24"/>
          <w:szCs w:val="24"/>
        </w:rPr>
        <w:t>е</w:t>
      </w:r>
      <w:r w:rsidR="00321A4D" w:rsidRPr="004557E8">
        <w:rPr>
          <w:rFonts w:ascii="Times New Roman" w:hAnsi="Times New Roman"/>
          <w:sz w:val="24"/>
          <w:szCs w:val="24"/>
        </w:rPr>
        <w:t xml:space="preserve"> (см. раздел 4.4)</w:t>
      </w:r>
      <w:r w:rsidRPr="004557E8">
        <w:rPr>
          <w:rFonts w:ascii="Times New Roman" w:hAnsi="Times New Roman"/>
          <w:sz w:val="24"/>
          <w:szCs w:val="24"/>
        </w:rPr>
        <w:t>.</w:t>
      </w:r>
    </w:p>
    <w:p w14:paraId="4CDCB0F9" w14:textId="77777777" w:rsidR="00321A4D" w:rsidRPr="004557E8" w:rsidRDefault="00321A4D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Нет данных для рекомендаций по дозировке у детей в возрасте до 12 лет и массой тела менее 35 кг с почечной недостаточностью.</w:t>
      </w:r>
    </w:p>
    <w:p w14:paraId="497E20E4" w14:textId="77777777" w:rsidR="00724071" w:rsidRPr="004557E8" w:rsidRDefault="00F24A7C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Пациенты с печеночной недостаточностью</w:t>
      </w:r>
    </w:p>
    <w:p w14:paraId="06C09BE8" w14:textId="77777777" w:rsidR="00724071" w:rsidRPr="004557E8" w:rsidRDefault="0072407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Пациентам с нарушением функции печени коррекция дозы препарата </w:t>
      </w:r>
      <w:proofErr w:type="spellStart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>Тафтеноф</w:t>
      </w:r>
      <w:proofErr w:type="spellEnd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>не требуется</w:t>
      </w:r>
      <w:r w:rsidR="00A04E03" w:rsidRPr="004557E8">
        <w:rPr>
          <w:rFonts w:ascii="Times New Roman" w:hAnsi="Times New Roman"/>
          <w:sz w:val="24"/>
          <w:szCs w:val="24"/>
        </w:rPr>
        <w:t xml:space="preserve"> (см. раздел 4.4 и 5.2)</w:t>
      </w:r>
      <w:r w:rsidRPr="004557E8">
        <w:rPr>
          <w:rFonts w:ascii="Times New Roman" w:hAnsi="Times New Roman"/>
          <w:sz w:val="24"/>
          <w:szCs w:val="24"/>
        </w:rPr>
        <w:t>.</w:t>
      </w:r>
    </w:p>
    <w:p w14:paraId="2629B4ED" w14:textId="77777777" w:rsidR="00724071" w:rsidRPr="004557E8" w:rsidRDefault="00724071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Дети</w:t>
      </w:r>
    </w:p>
    <w:p w14:paraId="290EB0EE" w14:textId="77777777" w:rsidR="00724071" w:rsidRPr="004557E8" w:rsidRDefault="0072407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Безопасность и эффективность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 xml:space="preserve">у детей в возрасте до </w:t>
      </w:r>
      <w:r w:rsidR="00A04E03" w:rsidRPr="004557E8">
        <w:rPr>
          <w:rFonts w:ascii="Times New Roman" w:hAnsi="Times New Roman"/>
          <w:sz w:val="24"/>
          <w:szCs w:val="24"/>
        </w:rPr>
        <w:t>6</w:t>
      </w:r>
      <w:r w:rsidRPr="004557E8">
        <w:rPr>
          <w:rFonts w:ascii="Times New Roman" w:hAnsi="Times New Roman"/>
          <w:sz w:val="24"/>
          <w:szCs w:val="24"/>
        </w:rPr>
        <w:t xml:space="preserve"> лет или при массе тела менее </w:t>
      </w:r>
      <w:r w:rsidR="00A04E03" w:rsidRPr="004557E8">
        <w:rPr>
          <w:rFonts w:ascii="Times New Roman" w:hAnsi="Times New Roman"/>
          <w:sz w:val="24"/>
          <w:szCs w:val="24"/>
        </w:rPr>
        <w:t>2</w:t>
      </w:r>
      <w:r w:rsidRPr="004557E8">
        <w:rPr>
          <w:rFonts w:ascii="Times New Roman" w:hAnsi="Times New Roman"/>
          <w:sz w:val="24"/>
          <w:szCs w:val="24"/>
        </w:rPr>
        <w:t>5 кг не устанавливалась. Данные отсутствуют.</w:t>
      </w:r>
    </w:p>
    <w:p w14:paraId="33A66338" w14:textId="77777777" w:rsidR="00724071" w:rsidRPr="004557E8" w:rsidRDefault="00F24A7C" w:rsidP="003E017A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557E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Способ применения</w:t>
      </w:r>
    </w:p>
    <w:p w14:paraId="11391D22" w14:textId="77777777" w:rsidR="00724071" w:rsidRPr="004557E8" w:rsidRDefault="00724071" w:rsidP="003E01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2175220276"/>
      <w:r w:rsidRPr="004557E8">
        <w:rPr>
          <w:rFonts w:ascii="Times New Roman" w:hAnsi="Times New Roman"/>
          <w:color w:val="000000"/>
          <w:sz w:val="24"/>
          <w:szCs w:val="24"/>
        </w:rPr>
        <w:t xml:space="preserve">Перорально. </w:t>
      </w:r>
      <w:r w:rsidR="00A7052C" w:rsidRPr="004557E8">
        <w:rPr>
          <w:rFonts w:ascii="Times New Roman" w:hAnsi="Times New Roman"/>
          <w:color w:val="000000"/>
          <w:sz w:val="24"/>
          <w:szCs w:val="24"/>
        </w:rPr>
        <w:t>Т</w:t>
      </w:r>
      <w:r w:rsidR="00A7052C" w:rsidRPr="004557E8">
        <w:rPr>
          <w:rFonts w:ascii="Times New Roman" w:eastAsia="Times New Roman" w:hAnsi="Times New Roman"/>
          <w:sz w:val="24"/>
          <w:szCs w:val="24"/>
          <w:lang w:val="kk-KZ" w:eastAsia="ru-RU"/>
        </w:rPr>
        <w:t>аблетки</w:t>
      </w:r>
      <w:r w:rsidR="009A65FE" w:rsidRPr="004557E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="00A7052C"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="00A7052C" w:rsidRPr="004557E8">
        <w:rPr>
          <w:rFonts w:ascii="Times New Roman" w:hAnsi="Times New Roman"/>
          <w:color w:val="000000"/>
          <w:sz w:val="24"/>
          <w:szCs w:val="24"/>
        </w:rPr>
        <w:t xml:space="preserve"> следует п</w:t>
      </w:r>
      <w:r w:rsidRPr="004557E8">
        <w:rPr>
          <w:rFonts w:ascii="Times New Roman" w:hAnsi="Times New Roman"/>
          <w:color w:val="000000"/>
          <w:sz w:val="24"/>
          <w:szCs w:val="24"/>
        </w:rPr>
        <w:t>ринимать во время еды.</w:t>
      </w:r>
    </w:p>
    <w:bookmarkEnd w:id="7"/>
    <w:p w14:paraId="571F6742" w14:textId="77777777" w:rsidR="0078568D" w:rsidRPr="004557E8" w:rsidRDefault="0078568D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C93ADF" w14:textId="77777777" w:rsidR="007D0E84" w:rsidRPr="004557E8" w:rsidRDefault="007D0E84" w:rsidP="003E017A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44E46C6E" w14:textId="77777777" w:rsidR="00F24A7C" w:rsidRPr="004557E8" w:rsidRDefault="005E0E3A" w:rsidP="003E017A">
      <w:pPr>
        <w:pStyle w:val="ad"/>
        <w:widowControl w:val="0"/>
        <w:tabs>
          <w:tab w:val="left" w:pos="1440"/>
          <w:tab w:val="decimal" w:pos="1668"/>
          <w:tab w:val="decimal" w:pos="2316"/>
          <w:tab w:val="decimal" w:pos="2976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- </w:t>
      </w:r>
      <w:r w:rsidR="00F24A7C" w:rsidRPr="004557E8">
        <w:rPr>
          <w:rFonts w:ascii="Times New Roman" w:hAnsi="Times New Roman"/>
          <w:sz w:val="24"/>
          <w:szCs w:val="24"/>
        </w:rPr>
        <w:t>гиперчувствительность к действующему веществу или к любому из вспомогательных веществ, перечисленных в разделе 6.1</w:t>
      </w:r>
    </w:p>
    <w:p w14:paraId="0A2095B3" w14:textId="77777777" w:rsidR="00843BC5" w:rsidRPr="004557E8" w:rsidRDefault="00843BC5" w:rsidP="003E017A">
      <w:pPr>
        <w:pStyle w:val="ad"/>
        <w:widowControl w:val="0"/>
        <w:tabs>
          <w:tab w:val="left" w:pos="1440"/>
          <w:tab w:val="decimal" w:pos="1668"/>
          <w:tab w:val="decimal" w:pos="2316"/>
          <w:tab w:val="decimal" w:pos="2976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F1BB06C" w14:textId="77777777" w:rsidR="00B10089" w:rsidRPr="004557E8" w:rsidRDefault="00DB406A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4557E8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044BE226" w14:textId="77777777" w:rsidR="003B786A" w:rsidRPr="004557E8" w:rsidRDefault="003B786A" w:rsidP="003E017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4557E8">
        <w:rPr>
          <w:rFonts w:ascii="Times New Roman" w:hAnsi="Times New Roman"/>
          <w:iCs/>
          <w:sz w:val="24"/>
          <w:szCs w:val="24"/>
          <w:u w:val="single"/>
        </w:rPr>
        <w:t xml:space="preserve">Этот продукт производится по лицензии компании </w:t>
      </w:r>
      <w:proofErr w:type="spellStart"/>
      <w:r w:rsidRPr="004557E8">
        <w:rPr>
          <w:rFonts w:ascii="Times New Roman" w:hAnsi="Times New Roman"/>
          <w:iCs/>
          <w:sz w:val="24"/>
          <w:szCs w:val="24"/>
          <w:u w:val="single"/>
        </w:rPr>
        <w:t>Gilead</w:t>
      </w:r>
      <w:proofErr w:type="spellEnd"/>
      <w:r w:rsidRPr="004557E8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  <w:u w:val="single"/>
        </w:rPr>
        <w:t>Sciences</w:t>
      </w:r>
      <w:proofErr w:type="spellEnd"/>
      <w:r w:rsidRPr="004557E8">
        <w:rPr>
          <w:rFonts w:ascii="Times New Roman" w:hAnsi="Times New Roman"/>
          <w:iCs/>
          <w:sz w:val="24"/>
          <w:szCs w:val="24"/>
          <w:u w:val="single"/>
        </w:rPr>
        <w:t xml:space="preserve">, </w:t>
      </w:r>
      <w:proofErr w:type="spellStart"/>
      <w:r w:rsidRPr="004557E8">
        <w:rPr>
          <w:rFonts w:ascii="Times New Roman" w:hAnsi="Times New Roman"/>
          <w:iCs/>
          <w:sz w:val="24"/>
          <w:szCs w:val="24"/>
          <w:u w:val="single"/>
        </w:rPr>
        <w:t>Inc</w:t>
      </w:r>
      <w:proofErr w:type="spellEnd"/>
      <w:r w:rsidRPr="004557E8">
        <w:rPr>
          <w:rFonts w:ascii="Times New Roman" w:hAnsi="Times New Roman"/>
          <w:iCs/>
          <w:sz w:val="24"/>
          <w:szCs w:val="24"/>
          <w:u w:val="single"/>
        </w:rPr>
        <w:t xml:space="preserve">. и </w:t>
      </w:r>
      <w:proofErr w:type="spellStart"/>
      <w:r w:rsidRPr="004557E8">
        <w:rPr>
          <w:rFonts w:ascii="Times New Roman" w:hAnsi="Times New Roman"/>
          <w:iCs/>
          <w:sz w:val="24"/>
          <w:szCs w:val="24"/>
          <w:u w:val="single"/>
        </w:rPr>
        <w:t>Medicines</w:t>
      </w:r>
      <w:proofErr w:type="spellEnd"/>
      <w:r w:rsidRPr="004557E8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  <w:u w:val="single"/>
        </w:rPr>
        <w:t>Patent</w:t>
      </w:r>
      <w:proofErr w:type="spellEnd"/>
      <w:r w:rsidRPr="004557E8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  <w:u w:val="single"/>
        </w:rPr>
        <w:t>Pool</w:t>
      </w:r>
      <w:proofErr w:type="spellEnd"/>
      <w:r w:rsidRPr="004557E8">
        <w:rPr>
          <w:rFonts w:ascii="Times New Roman" w:hAnsi="Times New Roman"/>
          <w:iCs/>
          <w:sz w:val="24"/>
          <w:szCs w:val="24"/>
          <w:u w:val="single"/>
        </w:rPr>
        <w:t>.</w:t>
      </w:r>
    </w:p>
    <w:p w14:paraId="6E2F8725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000000" w:fill="FF0000"/>
        </w:rPr>
      </w:pPr>
      <w:r w:rsidRPr="004557E8">
        <w:rPr>
          <w:rFonts w:ascii="Times New Roman" w:hAnsi="Times New Roman"/>
          <w:i/>
          <w:sz w:val="24"/>
          <w:szCs w:val="24"/>
        </w:rPr>
        <w:t>Передача ВГВ</w:t>
      </w:r>
    </w:p>
    <w:p w14:paraId="30609140" w14:textId="77777777" w:rsidR="00546519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Необходимо сообщить пациентам, что препарат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предотвращает риск передачи ВГВ другим лицам при половых контактах или контакте с кровью</w:t>
      </w:r>
      <w:r w:rsidR="00B16FFE" w:rsidRPr="004557E8">
        <w:rPr>
          <w:rFonts w:ascii="Times New Roman" w:hAnsi="Times New Roman"/>
          <w:sz w:val="24"/>
          <w:szCs w:val="24"/>
        </w:rPr>
        <w:t>,</w:t>
      </w:r>
      <w:r w:rsidRPr="004557E8">
        <w:rPr>
          <w:rFonts w:ascii="Times New Roman" w:hAnsi="Times New Roman"/>
          <w:sz w:val="24"/>
          <w:szCs w:val="24"/>
        </w:rPr>
        <w:t xml:space="preserve"> поэтому необходимо продолж</w:t>
      </w:r>
      <w:r w:rsidR="000D1EF2" w:rsidRPr="004557E8">
        <w:rPr>
          <w:rFonts w:ascii="Times New Roman" w:hAnsi="Times New Roman"/>
          <w:sz w:val="24"/>
          <w:szCs w:val="24"/>
        </w:rPr>
        <w:t>а</w:t>
      </w:r>
      <w:r w:rsidRPr="004557E8">
        <w:rPr>
          <w:rFonts w:ascii="Times New Roman" w:hAnsi="Times New Roman"/>
          <w:sz w:val="24"/>
          <w:szCs w:val="24"/>
        </w:rPr>
        <w:t>ть принимать</w:t>
      </w:r>
      <w:r w:rsidRPr="004557E8" w:rsidDel="00DB2CD1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>соответствующие меры предосторожности.</w:t>
      </w:r>
    </w:p>
    <w:p w14:paraId="03B11301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lastRenderedPageBreak/>
        <w:t>Пациенты с декомпенсированным заболеванием печени</w:t>
      </w:r>
    </w:p>
    <w:p w14:paraId="3B32BD2B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Отсутствуют данные по безопасности и эффективности </w:t>
      </w:r>
      <w:proofErr w:type="spellStart"/>
      <w:r w:rsidR="00B16FFE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B16FFE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FFE"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ВГВ-инфицированных пациентов с декомпенсированным поражением печени и показателем </w:t>
      </w:r>
      <w:proofErr w:type="spellStart"/>
      <w:r w:rsidRPr="004557E8">
        <w:rPr>
          <w:rFonts w:ascii="Times New Roman" w:hAnsi="Times New Roman"/>
          <w:sz w:val="24"/>
          <w:szCs w:val="24"/>
        </w:rPr>
        <w:t>Child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Pugh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Turcotte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(CPT) </w:t>
      </w:r>
      <w:r w:rsidR="00546519" w:rsidRPr="004557E8">
        <w:rPr>
          <w:rFonts w:ascii="Times New Roman" w:hAnsi="Times New Roman"/>
          <w:noProof/>
          <w:sz w:val="24"/>
          <w:szCs w:val="24"/>
        </w:rPr>
        <w:t>&gt;</w:t>
      </w:r>
      <w:r w:rsidR="00546519" w:rsidRPr="004557E8">
        <w:rPr>
          <w:rFonts w:ascii="Times New Roman" w:hAnsi="Times New Roman"/>
          <w:sz w:val="24"/>
          <w:szCs w:val="24"/>
        </w:rPr>
        <w:t>9 (т.</w:t>
      </w:r>
      <w:r w:rsidRPr="004557E8">
        <w:rPr>
          <w:rFonts w:ascii="Times New Roman" w:hAnsi="Times New Roman"/>
          <w:sz w:val="24"/>
          <w:szCs w:val="24"/>
        </w:rPr>
        <w:t>е. классом C). Такие пациенты могут иметь более высокий риск серьезных нежелательных реакций со стороны печени или почек. Поэтому данная группа пациентов нуждается в тщательном наблюдении за функцией печени, желчевыводящей системы и почек</w:t>
      </w:r>
      <w:r w:rsidR="00A04E03" w:rsidRPr="004557E8">
        <w:rPr>
          <w:rFonts w:ascii="Times New Roman" w:hAnsi="Times New Roman"/>
          <w:sz w:val="24"/>
          <w:szCs w:val="24"/>
        </w:rPr>
        <w:t xml:space="preserve"> (см. раздел 5.2)</w:t>
      </w:r>
      <w:r w:rsidRPr="004557E8">
        <w:rPr>
          <w:rFonts w:ascii="Times New Roman" w:hAnsi="Times New Roman"/>
          <w:sz w:val="24"/>
          <w:szCs w:val="24"/>
        </w:rPr>
        <w:t>.</w:t>
      </w:r>
    </w:p>
    <w:p w14:paraId="248FF01E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Обострение гепатита</w:t>
      </w:r>
    </w:p>
    <w:p w14:paraId="40FB6C0A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 xml:space="preserve">Обострения во время лечения </w:t>
      </w:r>
    </w:p>
    <w:p w14:paraId="086C9DDE" w14:textId="77777777" w:rsidR="00546519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Спонтанные обострения хронического гепатита В являются относительно частыми и характеризуются преходящим повышением аланинаминотрансферазы (АЛТ) в сыворотке крови. После начала противовирусной терапии у некоторых пациентов АЛТ в сыворотке может повыситься. </w:t>
      </w:r>
      <w:r w:rsidR="0019486F" w:rsidRPr="004557E8">
        <w:rPr>
          <w:rFonts w:ascii="Times New Roman" w:hAnsi="Times New Roman"/>
          <w:sz w:val="24"/>
          <w:szCs w:val="24"/>
        </w:rPr>
        <w:t xml:space="preserve">У пациентов с декомпенсированным заболеванием печени данные повышения уровня ALT обычно не сопровождается увеличением концентраций билирубина в сыворотке или печеночной декомпенсацией. </w:t>
      </w:r>
      <w:r w:rsidRPr="004557E8">
        <w:rPr>
          <w:rFonts w:ascii="Times New Roman" w:hAnsi="Times New Roman"/>
          <w:sz w:val="24"/>
          <w:szCs w:val="24"/>
        </w:rPr>
        <w:t>Пациенты с циррозом могут иметь повышенный риск печеночной декомпенсации после обострения гепатита, в связи с чем эти пациенты нуждаются в тщательном наблюдении во время лечения.</w:t>
      </w:r>
    </w:p>
    <w:p w14:paraId="49F10625" w14:textId="77777777" w:rsidR="00546519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Обострения после окончания лечения</w:t>
      </w:r>
    </w:p>
    <w:p w14:paraId="3E8591A2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Обострения гепатита были зарегистрированы у пациентов, прекративших лечение гепатита В, сопровождавшееся обычно повышением в плазме крови уровня ДНК ВГВ. Большинство случаев </w:t>
      </w:r>
      <w:proofErr w:type="spellStart"/>
      <w:r w:rsidRPr="004557E8">
        <w:rPr>
          <w:rFonts w:ascii="Times New Roman" w:hAnsi="Times New Roman"/>
          <w:sz w:val="24"/>
          <w:szCs w:val="24"/>
        </w:rPr>
        <w:t>самокупирующиеся</w:t>
      </w:r>
      <w:proofErr w:type="spellEnd"/>
      <w:r w:rsidRPr="004557E8">
        <w:rPr>
          <w:rFonts w:ascii="Times New Roman" w:hAnsi="Times New Roman"/>
          <w:sz w:val="24"/>
          <w:szCs w:val="24"/>
        </w:rPr>
        <w:t>, но, тяжелые обострения, включающие смертельные исходы, могут возникать после прекращения лечения гепатита В. Следует регулярно контролировать функцию печени клиническими и лабораторными методами исследования в течение не менее 6 месяцев после прекращения лечения гепатита В. Если необходимо, то следует возобновить лечение гепатита В.</w:t>
      </w:r>
    </w:p>
    <w:p w14:paraId="2530C5AD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Не рекомендуется прекращение лечения пациентам с выраженным поражением печени или циррозом, так как обострение гепатита после лечения может привести к печеночной декомпенсации. У пациентов с декомпенсированным поражением печени печеночные обострения протекают особенно тяжело и иногда приводят к фатальному исходу.</w:t>
      </w:r>
    </w:p>
    <w:p w14:paraId="5B1C3ECF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 xml:space="preserve">Нарушение функции почек </w:t>
      </w:r>
    </w:p>
    <w:p w14:paraId="65A2778B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 xml:space="preserve">Пациенты с клиренсом креатинина </w:t>
      </w:r>
      <w:r w:rsidRPr="004557E8">
        <w:rPr>
          <w:rFonts w:ascii="Times New Roman" w:hAnsi="Times New Roman"/>
          <w:i/>
          <w:noProof/>
          <w:sz w:val="24"/>
          <w:szCs w:val="24"/>
        </w:rPr>
        <w:t>&lt;</w:t>
      </w:r>
      <w:r w:rsidRPr="004557E8">
        <w:rPr>
          <w:rFonts w:ascii="Times New Roman" w:hAnsi="Times New Roman"/>
          <w:i/>
          <w:sz w:val="24"/>
          <w:szCs w:val="24"/>
        </w:rPr>
        <w:t>30 мл/мин</w:t>
      </w:r>
    </w:p>
    <w:p w14:paraId="24D1025D" w14:textId="77777777" w:rsidR="00A04E03" w:rsidRPr="004557E8" w:rsidRDefault="00A04E03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один раз в день у пациентов с КК ≥ 15 мл/мин и &lt; 30 мл/мин основано на данных 96-й недели об эффективности и безопасности перехода с другого противовирусного режима на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открытом клиническом исследовании у пациентов с </w:t>
      </w:r>
      <w:proofErr w:type="spellStart"/>
      <w:r w:rsidRPr="004557E8">
        <w:rPr>
          <w:rFonts w:ascii="Times New Roman" w:hAnsi="Times New Roman"/>
          <w:sz w:val="24"/>
          <w:szCs w:val="24"/>
        </w:rPr>
        <w:t>вирусологически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подавленной инфекцией ВГВ (см. разделы 4.8 и 5.1). Имеются очень ограниченные данные о безопасности и эффективности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инфицированных ВГВ пациентов с КК </w:t>
      </w:r>
      <w:proofErr w:type="gramStart"/>
      <w:r w:rsidRPr="004557E8">
        <w:rPr>
          <w:rFonts w:ascii="Times New Roman" w:hAnsi="Times New Roman"/>
          <w:sz w:val="24"/>
          <w:szCs w:val="24"/>
        </w:rPr>
        <w:t>&lt; 15</w:t>
      </w:r>
      <w:proofErr w:type="gramEnd"/>
      <w:r w:rsidRPr="004557E8">
        <w:rPr>
          <w:rFonts w:ascii="Times New Roman" w:hAnsi="Times New Roman"/>
          <w:sz w:val="24"/>
          <w:szCs w:val="24"/>
        </w:rPr>
        <w:t xml:space="preserve"> мл/мин, находящихся на хроническом гемодиализе (см. разделы 4.8, 5.1 и 5.2).</w:t>
      </w:r>
    </w:p>
    <w:p w14:paraId="01546EB9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Не рекомендуется применение препарата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получающим гемодиализ пациентам с клиренсом креатинина &lt;15 мл/мин (см. раздел </w:t>
      </w:r>
      <w:r w:rsidR="00D044DE" w:rsidRPr="004557E8">
        <w:rPr>
          <w:rFonts w:ascii="Times New Roman" w:hAnsi="Times New Roman"/>
          <w:sz w:val="24"/>
          <w:szCs w:val="24"/>
        </w:rPr>
        <w:t>4.2</w:t>
      </w:r>
      <w:r w:rsidRPr="004557E8">
        <w:rPr>
          <w:rFonts w:ascii="Times New Roman" w:hAnsi="Times New Roman"/>
          <w:sz w:val="24"/>
          <w:szCs w:val="24"/>
        </w:rPr>
        <w:t>).</w:t>
      </w:r>
    </w:p>
    <w:p w14:paraId="1F2866E2" w14:textId="77777777" w:rsidR="0094173F" w:rsidRPr="004557E8" w:rsidRDefault="0094173F" w:rsidP="003E017A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 w:rsidRPr="004557E8">
        <w:rPr>
          <w:rFonts w:ascii="Times New Roman" w:hAnsi="Times New Roman"/>
          <w:i/>
          <w:sz w:val="24"/>
          <w:szCs w:val="24"/>
        </w:rPr>
        <w:t>Нефротоксичность</w:t>
      </w:r>
      <w:proofErr w:type="spellEnd"/>
    </w:p>
    <w:p w14:paraId="6BFF9E01" w14:textId="77777777" w:rsidR="00294D55" w:rsidRPr="004557E8" w:rsidRDefault="00294D55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Сообщалось о </w:t>
      </w:r>
      <w:proofErr w:type="spellStart"/>
      <w:r w:rsidRPr="004557E8">
        <w:rPr>
          <w:rFonts w:ascii="Times New Roman" w:hAnsi="Times New Roman"/>
          <w:sz w:val="24"/>
          <w:szCs w:val="24"/>
        </w:rPr>
        <w:t>постмаркетинговых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случаях почечной недостаточности, включая острую почечную недостаточность и проксимальную почечную </w:t>
      </w:r>
      <w:proofErr w:type="spellStart"/>
      <w:r w:rsidRPr="004557E8">
        <w:rPr>
          <w:rFonts w:ascii="Times New Roman" w:hAnsi="Times New Roman"/>
          <w:sz w:val="24"/>
          <w:szCs w:val="24"/>
        </w:rPr>
        <w:t>тубулопатию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при применении препаратов, содержащих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. Нельзя исключить потенциальный риск </w:t>
      </w:r>
      <w:proofErr w:type="spellStart"/>
      <w:r w:rsidRPr="004557E8">
        <w:rPr>
          <w:rFonts w:ascii="Times New Roman" w:hAnsi="Times New Roman"/>
          <w:sz w:val="24"/>
          <w:szCs w:val="24"/>
        </w:rPr>
        <w:t>нефротоксичности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результате хронического воздействия низких концентраций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связи с приемом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(см. раздел 5.3).</w:t>
      </w:r>
    </w:p>
    <w:p w14:paraId="485D70A8" w14:textId="77777777" w:rsidR="00294D55" w:rsidRPr="004557E8" w:rsidRDefault="00294D55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Рекомендуется оценивать функцию почек у всех пациентов до или в начале терапии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а также контролировать ее во время терапии у всех пациентов, если это клинически целесообразно. У пациентов, у которых развивается клинически значимое снижение функции почек или признаки проксимальной почечной </w:t>
      </w:r>
      <w:proofErr w:type="spellStart"/>
      <w:r w:rsidRPr="004557E8">
        <w:rPr>
          <w:rFonts w:ascii="Times New Roman" w:hAnsi="Times New Roman"/>
          <w:sz w:val="24"/>
          <w:szCs w:val="24"/>
        </w:rPr>
        <w:lastRenderedPageBreak/>
        <w:t>тубулопатии</w:t>
      </w:r>
      <w:proofErr w:type="spellEnd"/>
      <w:r w:rsidRPr="004557E8">
        <w:rPr>
          <w:rFonts w:ascii="Times New Roman" w:hAnsi="Times New Roman"/>
          <w:sz w:val="24"/>
          <w:szCs w:val="24"/>
        </w:rPr>
        <w:t>, следует рассмотреть вопрос о прекращении приема лекарственного средства.</w:t>
      </w:r>
    </w:p>
    <w:p w14:paraId="43B7A8A2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Пациенты с сопутствующими инфекциями ВГВ и гепатита С или D</w:t>
      </w:r>
    </w:p>
    <w:p w14:paraId="77CD3341" w14:textId="77777777" w:rsidR="00546519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Данные о безопасности и эффективности </w:t>
      </w:r>
      <w:proofErr w:type="spellStart"/>
      <w:r w:rsidR="00331C67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331C6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C67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пациентов с сопутствующими инфекциями ВГВ и гепатита С или D отсутствуют. Рекомендации по комбинированному назначению для лечения гепатита С должны быть соблюдены (см. раздел </w:t>
      </w:r>
      <w:r w:rsidR="00D044DE" w:rsidRPr="004557E8">
        <w:rPr>
          <w:rFonts w:ascii="Times New Roman" w:hAnsi="Times New Roman"/>
          <w:sz w:val="24"/>
          <w:szCs w:val="24"/>
        </w:rPr>
        <w:t>4.5)</w:t>
      </w:r>
      <w:r w:rsidR="00294D55" w:rsidRPr="004557E8">
        <w:rPr>
          <w:rFonts w:ascii="Times New Roman" w:hAnsi="Times New Roman"/>
          <w:sz w:val="24"/>
          <w:szCs w:val="24"/>
        </w:rPr>
        <w:t>.</w:t>
      </w:r>
    </w:p>
    <w:p w14:paraId="16342DBE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Ко-инфицирование вирусом гепатита B и ВИЧ</w:t>
      </w:r>
    </w:p>
    <w:p w14:paraId="6ACB7F81" w14:textId="77777777" w:rsidR="00546519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Перед началом лечения препаратом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следует выполнить исследование на антитела против ВИЧ у всех ВГВ-инфицированных пациентов, чей статус в отношении ВИЧ-1 инфекции неизвестен. У пациентов, которые ко-инфицированы ВГВ и ВИЧ, препарат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следует применять совместно с другими антиретровирусными препаратами, чтобы пациенты получали достаточное лечение от ВИЧ (см. раздел</w:t>
      </w:r>
      <w:r w:rsidR="00D044DE" w:rsidRPr="004557E8">
        <w:rPr>
          <w:rFonts w:ascii="Times New Roman" w:hAnsi="Times New Roman"/>
          <w:sz w:val="24"/>
          <w:szCs w:val="24"/>
        </w:rPr>
        <w:t xml:space="preserve"> 4.5</w:t>
      </w:r>
      <w:r w:rsidRPr="004557E8">
        <w:rPr>
          <w:rFonts w:ascii="Times New Roman" w:hAnsi="Times New Roman"/>
          <w:sz w:val="24"/>
          <w:szCs w:val="24"/>
        </w:rPr>
        <w:t>).</w:t>
      </w:r>
    </w:p>
    <w:p w14:paraId="1BE75B85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Совместное применение других лекарственных препаратов</w:t>
      </w:r>
    </w:p>
    <w:p w14:paraId="15AEC746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следует применять совместно с препаратами, содержащими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фумарат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4557E8">
        <w:rPr>
          <w:rFonts w:ascii="Times New Roman" w:hAnsi="Times New Roman"/>
          <w:sz w:val="24"/>
          <w:szCs w:val="24"/>
        </w:rPr>
        <w:t>адефовир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дипивоксил</w:t>
      </w:r>
      <w:proofErr w:type="spellEnd"/>
      <w:r w:rsidRPr="004557E8">
        <w:rPr>
          <w:rFonts w:ascii="Times New Roman" w:hAnsi="Times New Roman"/>
          <w:sz w:val="24"/>
          <w:szCs w:val="24"/>
        </w:rPr>
        <w:t>.</w:t>
      </w:r>
    </w:p>
    <w:p w14:paraId="6D1F869E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Не рекомендуется </w:t>
      </w:r>
      <w:r w:rsidR="006F11FE" w:rsidRPr="004557E8">
        <w:rPr>
          <w:rFonts w:ascii="Times New Roman" w:hAnsi="Times New Roman"/>
          <w:sz w:val="24"/>
          <w:szCs w:val="24"/>
        </w:rPr>
        <w:t>совместное применение</w:t>
      </w:r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1FE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6F11FE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1FE"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 некоторыми противосудорожными средствами (например, </w:t>
      </w:r>
      <w:proofErr w:type="spellStart"/>
      <w:r w:rsidRPr="004557E8">
        <w:rPr>
          <w:rFonts w:ascii="Times New Roman" w:hAnsi="Times New Roman"/>
          <w:sz w:val="24"/>
          <w:szCs w:val="24"/>
        </w:rPr>
        <w:t>карбамазепином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7E8">
        <w:rPr>
          <w:rFonts w:ascii="Times New Roman" w:hAnsi="Times New Roman"/>
          <w:sz w:val="24"/>
          <w:szCs w:val="24"/>
        </w:rPr>
        <w:t>окскарбазепином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фенобарбиталом и фенитоином), </w:t>
      </w:r>
      <w:proofErr w:type="spellStart"/>
      <w:r w:rsidRPr="004557E8">
        <w:rPr>
          <w:rFonts w:ascii="Times New Roman" w:hAnsi="Times New Roman"/>
          <w:sz w:val="24"/>
          <w:szCs w:val="24"/>
        </w:rPr>
        <w:t>противомикобактериальными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препаратами (например, </w:t>
      </w:r>
      <w:proofErr w:type="spellStart"/>
      <w:r w:rsidRPr="004557E8">
        <w:rPr>
          <w:rFonts w:ascii="Times New Roman" w:hAnsi="Times New Roman"/>
          <w:sz w:val="24"/>
          <w:szCs w:val="24"/>
        </w:rPr>
        <w:t>рифампицином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7E8">
        <w:rPr>
          <w:rFonts w:ascii="Times New Roman" w:hAnsi="Times New Roman"/>
          <w:sz w:val="24"/>
          <w:szCs w:val="24"/>
        </w:rPr>
        <w:t>рифабутином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</w:rPr>
        <w:t>рифапентином</w:t>
      </w:r>
      <w:proofErr w:type="spellEnd"/>
      <w:r w:rsidRPr="004557E8">
        <w:rPr>
          <w:rFonts w:ascii="Times New Roman" w:hAnsi="Times New Roman"/>
          <w:sz w:val="24"/>
          <w:szCs w:val="24"/>
        </w:rPr>
        <w:t>) или зверобоем, все из них являются индукторами гликопротеина Р (P</w:t>
      </w:r>
      <w:r w:rsidRPr="004557E8">
        <w:rPr>
          <w:rFonts w:ascii="Times New Roman" w:hAnsi="Times New Roman"/>
          <w:sz w:val="24"/>
          <w:szCs w:val="24"/>
        </w:rPr>
        <w:noBreakHyphen/>
      </w:r>
      <w:proofErr w:type="spellStart"/>
      <w:r w:rsidRPr="004557E8">
        <w:rPr>
          <w:rFonts w:ascii="Times New Roman" w:hAnsi="Times New Roman"/>
          <w:sz w:val="24"/>
          <w:szCs w:val="24"/>
        </w:rPr>
        <w:t>gp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) и могут снизить концентрацию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плазме.</w:t>
      </w:r>
    </w:p>
    <w:p w14:paraId="6D7C5275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Совместное применение </w:t>
      </w:r>
      <w:proofErr w:type="spellStart"/>
      <w:r w:rsidR="00140D23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140D23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0D23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 сильными ингибиторами P</w:t>
      </w:r>
      <w:r w:rsidRPr="004557E8">
        <w:rPr>
          <w:rFonts w:ascii="Times New Roman" w:hAnsi="Times New Roman"/>
          <w:sz w:val="24"/>
          <w:szCs w:val="24"/>
        </w:rPr>
        <w:noBreakHyphen/>
      </w:r>
      <w:proofErr w:type="spellStart"/>
      <w:r w:rsidRPr="004557E8">
        <w:rPr>
          <w:rFonts w:ascii="Times New Roman" w:hAnsi="Times New Roman"/>
          <w:sz w:val="24"/>
          <w:szCs w:val="24"/>
        </w:rPr>
        <w:t>gp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(например, </w:t>
      </w:r>
      <w:proofErr w:type="spellStart"/>
      <w:r w:rsidRPr="004557E8">
        <w:rPr>
          <w:rFonts w:ascii="Times New Roman" w:hAnsi="Times New Roman"/>
          <w:sz w:val="24"/>
          <w:szCs w:val="24"/>
        </w:rPr>
        <w:t>итраконазолом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</w:rPr>
        <w:t>кетоконазолом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) может повысить концентрации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r w:rsidR="00FE2F0B" w:rsidRPr="004557E8">
        <w:rPr>
          <w:rFonts w:ascii="Times New Roman" w:hAnsi="Times New Roman"/>
          <w:sz w:val="24"/>
          <w:szCs w:val="24"/>
        </w:rPr>
        <w:t>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плазме. Такое совместное применение не рекомендуется.</w:t>
      </w:r>
    </w:p>
    <w:p w14:paraId="55744478" w14:textId="77777777" w:rsidR="00407C65" w:rsidRPr="004557E8" w:rsidRDefault="00407C65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Дети</w:t>
      </w:r>
    </w:p>
    <w:p w14:paraId="68739412" w14:textId="77777777" w:rsidR="00407C65" w:rsidRPr="004557E8" w:rsidRDefault="00407C65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Сообщалось о снижении минеральной плотности костной ткани (МПКТ ≥ 4%) поясничного отдела позвоночника и всего тела у некоторых детей в возрасте 6 лет и старше с массой тела не менее 25 кг, получавших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течение 48 недель (см. разделы 4.8 и 5.1). Долгосрочные эффекты изменений </w:t>
      </w:r>
      <w:r w:rsidR="00966AE4" w:rsidRPr="004557E8">
        <w:rPr>
          <w:rFonts w:ascii="Times New Roman" w:hAnsi="Times New Roman"/>
          <w:sz w:val="24"/>
          <w:szCs w:val="24"/>
        </w:rPr>
        <w:t>МПКТ</w:t>
      </w:r>
      <w:r w:rsidRPr="004557E8">
        <w:rPr>
          <w:rFonts w:ascii="Times New Roman" w:hAnsi="Times New Roman"/>
          <w:sz w:val="24"/>
          <w:szCs w:val="24"/>
        </w:rPr>
        <w:t xml:space="preserve"> на растущую кость, включая риск переломов, неясны. Рекомендуется мультидисциплинарный подход для принятия решения о соответствующем мониторинге во время лечения.</w:t>
      </w:r>
    </w:p>
    <w:p w14:paraId="350466A2" w14:textId="77777777" w:rsidR="0094173F" w:rsidRPr="004557E8" w:rsidRDefault="0094173F" w:rsidP="003E017A">
      <w:pPr>
        <w:spacing w:after="0" w:line="240" w:lineRule="auto"/>
        <w:ind w:left="567" w:hanging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Непереносимость лактозы</w:t>
      </w:r>
    </w:p>
    <w:p w14:paraId="04E22481" w14:textId="77777777" w:rsidR="0094173F" w:rsidRPr="004557E8" w:rsidRDefault="0094173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содержит лактозы моногидрат. Следовательно, препарат не следует принимать пациентам с редкими наследственными нарушениями переносимости галактозы, наследственным дефицитом фермента </w:t>
      </w:r>
      <w:r w:rsidRPr="004557E8">
        <w:rPr>
          <w:rFonts w:ascii="Times New Roman" w:hAnsi="Times New Roman"/>
          <w:sz w:val="24"/>
          <w:szCs w:val="24"/>
          <w:lang w:val="en-US"/>
        </w:rPr>
        <w:t>Lapp</w:t>
      </w:r>
      <w:r w:rsidRPr="004557E8">
        <w:rPr>
          <w:rFonts w:ascii="Times New Roman" w:hAnsi="Times New Roman"/>
          <w:sz w:val="24"/>
          <w:szCs w:val="24"/>
        </w:rPr>
        <w:t>-</w:t>
      </w:r>
      <w:proofErr w:type="spellStart"/>
      <w:r w:rsidRPr="004557E8">
        <w:rPr>
          <w:rFonts w:ascii="Times New Roman" w:hAnsi="Times New Roman"/>
          <w:sz w:val="24"/>
          <w:szCs w:val="24"/>
        </w:rPr>
        <w:t>лактазы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или синдромом </w:t>
      </w:r>
      <w:proofErr w:type="spellStart"/>
      <w:r w:rsidRPr="004557E8">
        <w:rPr>
          <w:rFonts w:ascii="Times New Roman" w:hAnsi="Times New Roman"/>
          <w:sz w:val="24"/>
          <w:szCs w:val="24"/>
        </w:rPr>
        <w:t>мальабсорбции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глюкозы-галактозы.</w:t>
      </w:r>
    </w:p>
    <w:p w14:paraId="729F1F8F" w14:textId="77777777" w:rsidR="00A57E9E" w:rsidRPr="004557E8" w:rsidRDefault="00A57E9E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Вспомогательные вещества</w:t>
      </w:r>
    </w:p>
    <w:p w14:paraId="5D8AA1B7" w14:textId="77777777" w:rsidR="00EB3742" w:rsidRPr="004557E8" w:rsidRDefault="00EB3742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Данный препарат содержит 10 мг натрия </w:t>
      </w:r>
      <w:proofErr w:type="spellStart"/>
      <w:r w:rsidRPr="004557E8">
        <w:rPr>
          <w:rFonts w:ascii="Times New Roman" w:hAnsi="Times New Roman"/>
          <w:sz w:val="24"/>
          <w:szCs w:val="24"/>
        </w:rPr>
        <w:t>кроскармеллозы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одной таблетке</w:t>
      </w:r>
      <w:r w:rsidR="00AD5A3C" w:rsidRPr="004557E8">
        <w:rPr>
          <w:rFonts w:ascii="Times New Roman" w:hAnsi="Times New Roman"/>
          <w:sz w:val="24"/>
          <w:szCs w:val="24"/>
        </w:rPr>
        <w:t>, исходя из этого</w:t>
      </w:r>
      <w:r w:rsidR="0036059E" w:rsidRPr="004557E8">
        <w:rPr>
          <w:rFonts w:ascii="Times New Roman" w:hAnsi="Times New Roman"/>
          <w:sz w:val="24"/>
          <w:szCs w:val="24"/>
        </w:rPr>
        <w:t xml:space="preserve"> минимального количества,</w:t>
      </w:r>
      <w:r w:rsidR="00AD5A3C" w:rsidRPr="004557E8">
        <w:rPr>
          <w:rFonts w:ascii="Times New Roman" w:hAnsi="Times New Roman"/>
          <w:sz w:val="24"/>
          <w:szCs w:val="24"/>
        </w:rPr>
        <w:t xml:space="preserve"> можно считать, что препарат «свободен от натрия».</w:t>
      </w:r>
    </w:p>
    <w:p w14:paraId="2A6AD18F" w14:textId="77777777" w:rsidR="000A15B0" w:rsidRPr="004557E8" w:rsidRDefault="000A15B0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F619E3" w14:textId="77777777" w:rsidR="007D0E84" w:rsidRPr="004557E8" w:rsidRDefault="00DB406A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224C097C" w14:textId="77777777" w:rsidR="00C65927" w:rsidRPr="004557E8" w:rsidRDefault="00C65927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Исследования взаимодействий пров</w:t>
      </w:r>
      <w:r w:rsidR="00C1087E" w:rsidRPr="004557E8">
        <w:rPr>
          <w:rFonts w:ascii="Times New Roman" w:hAnsi="Times New Roman"/>
          <w:sz w:val="24"/>
          <w:szCs w:val="24"/>
        </w:rPr>
        <w:t>одились</w:t>
      </w:r>
      <w:r w:rsidRPr="004557E8">
        <w:rPr>
          <w:rFonts w:ascii="Times New Roman" w:hAnsi="Times New Roman"/>
          <w:sz w:val="24"/>
          <w:szCs w:val="24"/>
        </w:rPr>
        <w:t xml:space="preserve"> только </w:t>
      </w:r>
      <w:r w:rsidR="00C1087E" w:rsidRPr="004557E8">
        <w:rPr>
          <w:rFonts w:ascii="Times New Roman" w:hAnsi="Times New Roman"/>
          <w:sz w:val="24"/>
          <w:szCs w:val="24"/>
        </w:rPr>
        <w:t>на</w:t>
      </w:r>
      <w:r w:rsidRPr="004557E8">
        <w:rPr>
          <w:rFonts w:ascii="Times New Roman" w:hAnsi="Times New Roman"/>
          <w:sz w:val="24"/>
          <w:szCs w:val="24"/>
        </w:rPr>
        <w:t xml:space="preserve"> взрослых.</w:t>
      </w:r>
    </w:p>
    <w:p w14:paraId="5A14A2BA" w14:textId="77777777" w:rsidR="007761D4" w:rsidRPr="004557E8" w:rsidRDefault="007761D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следует применять совместно с препаратами, содержащими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фумарат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4557E8">
        <w:rPr>
          <w:rFonts w:ascii="Times New Roman" w:hAnsi="Times New Roman"/>
          <w:sz w:val="24"/>
          <w:szCs w:val="24"/>
        </w:rPr>
        <w:t>адефовира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дипивоксил</w:t>
      </w:r>
      <w:proofErr w:type="spellEnd"/>
      <w:r w:rsidRPr="004557E8">
        <w:rPr>
          <w:rFonts w:ascii="Times New Roman" w:hAnsi="Times New Roman"/>
          <w:sz w:val="24"/>
          <w:szCs w:val="24"/>
        </w:rPr>
        <w:t>.</w:t>
      </w:r>
    </w:p>
    <w:p w14:paraId="64B39AC0" w14:textId="77777777" w:rsidR="007761D4" w:rsidRPr="004557E8" w:rsidRDefault="007761D4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 xml:space="preserve">Лекарственные средства, способные влиять на </w:t>
      </w:r>
      <w:proofErr w:type="spellStart"/>
      <w:r w:rsidRPr="004557E8">
        <w:rPr>
          <w:rFonts w:ascii="Times New Roman" w:hAnsi="Times New Roman"/>
          <w:i/>
          <w:iCs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i/>
          <w:iCs/>
          <w:sz w:val="24"/>
          <w:szCs w:val="24"/>
        </w:rPr>
        <w:t>алафенамид</w:t>
      </w:r>
      <w:proofErr w:type="spellEnd"/>
    </w:p>
    <w:p w14:paraId="5944A824" w14:textId="77777777" w:rsidR="007761D4" w:rsidRPr="004557E8" w:rsidRDefault="007761D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транспортируется P</w:t>
      </w:r>
      <w:r w:rsidRPr="004557E8">
        <w:rPr>
          <w:rFonts w:ascii="Times New Roman" w:hAnsi="Times New Roman"/>
          <w:sz w:val="24"/>
          <w:szCs w:val="24"/>
        </w:rPr>
        <w:noBreakHyphen/>
      </w:r>
      <w:proofErr w:type="spellStart"/>
      <w:r w:rsidRPr="004557E8">
        <w:rPr>
          <w:rFonts w:ascii="Times New Roman" w:hAnsi="Times New Roman"/>
          <w:sz w:val="24"/>
          <w:szCs w:val="24"/>
        </w:rPr>
        <w:t>gp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белком резистентным к раку молочной железы (БРРМЖ). Лекарственные средства, такие как индукторы P</w:t>
      </w:r>
      <w:r w:rsidRPr="004557E8">
        <w:rPr>
          <w:rFonts w:ascii="Times New Roman" w:hAnsi="Times New Roman"/>
          <w:sz w:val="24"/>
          <w:szCs w:val="24"/>
        </w:rPr>
        <w:noBreakHyphen/>
      </w:r>
      <w:proofErr w:type="spellStart"/>
      <w:r w:rsidRPr="004557E8">
        <w:rPr>
          <w:rFonts w:ascii="Times New Roman" w:hAnsi="Times New Roman"/>
          <w:sz w:val="24"/>
          <w:szCs w:val="24"/>
        </w:rPr>
        <w:t>gp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(например, </w:t>
      </w:r>
      <w:proofErr w:type="spellStart"/>
      <w:r w:rsidRPr="004557E8">
        <w:rPr>
          <w:rFonts w:ascii="Times New Roman" w:hAnsi="Times New Roman"/>
          <w:sz w:val="24"/>
          <w:szCs w:val="24"/>
        </w:rPr>
        <w:t>рифампицин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7E8">
        <w:rPr>
          <w:rFonts w:ascii="Times New Roman" w:hAnsi="Times New Roman"/>
          <w:sz w:val="24"/>
          <w:szCs w:val="24"/>
        </w:rPr>
        <w:t>рифабутин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7E8">
        <w:rPr>
          <w:rFonts w:ascii="Times New Roman" w:hAnsi="Times New Roman"/>
          <w:sz w:val="24"/>
          <w:szCs w:val="24"/>
        </w:rPr>
        <w:t>карбамазепин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фенобарбитал или зверобой) могут снизить концентрацию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плазме и ослабить терапевтическое </w:t>
      </w:r>
      <w:r w:rsidRPr="004557E8">
        <w:rPr>
          <w:rFonts w:ascii="Times New Roman" w:hAnsi="Times New Roman"/>
          <w:sz w:val="24"/>
          <w:szCs w:val="24"/>
        </w:rPr>
        <w:lastRenderedPageBreak/>
        <w:t xml:space="preserve">действие препарата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. Совместное применение таких препаратов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рекомендуется.</w:t>
      </w:r>
    </w:p>
    <w:p w14:paraId="39F3589A" w14:textId="77777777" w:rsidR="007761D4" w:rsidRPr="004557E8" w:rsidRDefault="007761D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Совместное применение препарата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 препаратами-ингибиторами P</w:t>
      </w:r>
      <w:r w:rsidRPr="004557E8">
        <w:rPr>
          <w:rFonts w:ascii="Times New Roman" w:hAnsi="Times New Roman"/>
          <w:sz w:val="24"/>
          <w:szCs w:val="24"/>
        </w:rPr>
        <w:noBreakHyphen/>
      </w:r>
      <w:proofErr w:type="spellStart"/>
      <w:r w:rsidRPr="004557E8">
        <w:rPr>
          <w:rFonts w:ascii="Times New Roman" w:hAnsi="Times New Roman"/>
          <w:sz w:val="24"/>
          <w:szCs w:val="24"/>
        </w:rPr>
        <w:t>gp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(или) БРРМЖ может повысить в плазме концентрацию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>. Совместное применение сильных ингибиторов P</w:t>
      </w:r>
      <w:r w:rsidRPr="004557E8">
        <w:rPr>
          <w:rFonts w:ascii="Times New Roman" w:hAnsi="Times New Roman"/>
          <w:sz w:val="24"/>
          <w:szCs w:val="24"/>
        </w:rPr>
        <w:noBreakHyphen/>
      </w:r>
      <w:proofErr w:type="spellStart"/>
      <w:r w:rsidRPr="004557E8">
        <w:rPr>
          <w:rFonts w:ascii="Times New Roman" w:hAnsi="Times New Roman"/>
          <w:sz w:val="24"/>
          <w:szCs w:val="24"/>
        </w:rPr>
        <w:t>gp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 препаратом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рекомендуется.</w:t>
      </w:r>
    </w:p>
    <w:p w14:paraId="479AD886" w14:textId="77777777" w:rsidR="007761D4" w:rsidRPr="004557E8" w:rsidRDefault="007761D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является субстратом OATP1B1 и OATP1B3 </w:t>
      </w:r>
      <w:proofErr w:type="spellStart"/>
      <w:r w:rsidRPr="004557E8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4557E8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4557E8">
        <w:rPr>
          <w:rFonts w:ascii="Times New Roman" w:hAnsi="Times New Roman"/>
          <w:i/>
          <w:sz w:val="24"/>
          <w:szCs w:val="24"/>
        </w:rPr>
        <w:t>vitro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. На распределение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организме может повлиять активность OATP1B1 и (или) OATP1B3. </w:t>
      </w:r>
    </w:p>
    <w:p w14:paraId="1A715896" w14:textId="77777777" w:rsidR="007761D4" w:rsidRPr="004557E8" w:rsidRDefault="007761D4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 xml:space="preserve">Влияние </w:t>
      </w:r>
      <w:proofErr w:type="spellStart"/>
      <w:r w:rsidRPr="004557E8">
        <w:rPr>
          <w:rFonts w:ascii="Times New Roman" w:hAnsi="Times New Roman"/>
          <w:i/>
          <w:iCs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i/>
          <w:iCs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i/>
          <w:iCs/>
          <w:sz w:val="24"/>
          <w:szCs w:val="24"/>
        </w:rPr>
        <w:t xml:space="preserve"> на другие лекарственные препараты</w:t>
      </w:r>
    </w:p>
    <w:p w14:paraId="0960260C" w14:textId="77777777" w:rsidR="007761D4" w:rsidRPr="004557E8" w:rsidRDefault="007761D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является ингибитором CYP1A2, CYP2B6, CYP2C8, CYP2C9, CYP2C19 или CYP2D6 </w:t>
      </w:r>
      <w:proofErr w:type="spellStart"/>
      <w:r w:rsidRPr="004557E8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4557E8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4557E8">
        <w:rPr>
          <w:rFonts w:ascii="Times New Roman" w:hAnsi="Times New Roman"/>
          <w:i/>
          <w:sz w:val="24"/>
          <w:szCs w:val="24"/>
        </w:rPr>
        <w:t>vitro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не является ингибитором </w:t>
      </w:r>
      <w:r w:rsidR="00FF762D" w:rsidRPr="004557E8">
        <w:rPr>
          <w:rFonts w:ascii="Times New Roman" w:hAnsi="Times New Roman"/>
          <w:sz w:val="24"/>
          <w:szCs w:val="24"/>
        </w:rPr>
        <w:t xml:space="preserve">или индуктором </w:t>
      </w:r>
      <w:r w:rsidRPr="004557E8">
        <w:rPr>
          <w:rFonts w:ascii="Times New Roman" w:hAnsi="Times New Roman"/>
          <w:sz w:val="24"/>
          <w:szCs w:val="24"/>
        </w:rPr>
        <w:t xml:space="preserve">CYP3A </w:t>
      </w:r>
      <w:proofErr w:type="spellStart"/>
      <w:r w:rsidRPr="004557E8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4557E8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4557E8">
        <w:rPr>
          <w:rFonts w:ascii="Times New Roman" w:hAnsi="Times New Roman"/>
          <w:i/>
          <w:sz w:val="24"/>
          <w:szCs w:val="24"/>
        </w:rPr>
        <w:t>vivo</w:t>
      </w:r>
      <w:proofErr w:type="spellEnd"/>
      <w:r w:rsidRPr="004557E8">
        <w:rPr>
          <w:rFonts w:ascii="Times New Roman" w:hAnsi="Times New Roman"/>
          <w:sz w:val="24"/>
          <w:szCs w:val="24"/>
        </w:rPr>
        <w:t>.</w:t>
      </w:r>
    </w:p>
    <w:p w14:paraId="48A04CA3" w14:textId="77777777" w:rsidR="007761D4" w:rsidRPr="004557E8" w:rsidRDefault="007761D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является ингибитором </w:t>
      </w:r>
      <w:proofErr w:type="spellStart"/>
      <w:r w:rsidRPr="004557E8">
        <w:rPr>
          <w:rFonts w:ascii="Times New Roman" w:hAnsi="Times New Roman"/>
          <w:sz w:val="24"/>
          <w:szCs w:val="24"/>
        </w:rPr>
        <w:t>уридиндифосфатглюкуронозил-трансферазы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(УГТ) 1A1 человека </w:t>
      </w:r>
      <w:proofErr w:type="spellStart"/>
      <w:r w:rsidRPr="004557E8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4557E8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4557E8">
        <w:rPr>
          <w:rFonts w:ascii="Times New Roman" w:hAnsi="Times New Roman"/>
          <w:i/>
          <w:sz w:val="24"/>
          <w:szCs w:val="24"/>
        </w:rPr>
        <w:t>vitro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. Неизвестно, является ли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ингибитором других ферментов УГТ.</w:t>
      </w:r>
    </w:p>
    <w:p w14:paraId="48A8DE7C" w14:textId="77777777" w:rsidR="00546519" w:rsidRPr="004557E8" w:rsidRDefault="007761D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Лекарственные взаимодействия препарата </w:t>
      </w:r>
      <w:proofErr w:type="spellStart"/>
      <w:r w:rsidRPr="004557E8">
        <w:rPr>
          <w:rFonts w:ascii="Times New Roman" w:hAnsi="Times New Roman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 препаратами, которые могут применяться в сочетании, указаны ниже в таблице </w:t>
      </w:r>
      <w:r w:rsidR="003C2770" w:rsidRPr="004557E8">
        <w:rPr>
          <w:rFonts w:ascii="Times New Roman" w:hAnsi="Times New Roman"/>
          <w:sz w:val="24"/>
          <w:szCs w:val="24"/>
        </w:rPr>
        <w:t>1</w:t>
      </w:r>
      <w:r w:rsidRPr="004557E8">
        <w:rPr>
          <w:rFonts w:ascii="Times New Roman" w:hAnsi="Times New Roman"/>
          <w:sz w:val="24"/>
          <w:szCs w:val="24"/>
        </w:rPr>
        <w:t xml:space="preserve"> (повышение обозначено знаком «</w:t>
      </w:r>
      <w:r w:rsidRPr="004557E8">
        <w:rPr>
          <w:rFonts w:ascii="Times New Roman" w:hAnsi="Times New Roman"/>
          <w:sz w:val="24"/>
          <w:szCs w:val="24"/>
          <w:cs/>
        </w:rPr>
        <w:t>↑</w:t>
      </w:r>
      <w:r w:rsidRPr="004557E8">
        <w:rPr>
          <w:rFonts w:ascii="Times New Roman" w:hAnsi="Times New Roman"/>
          <w:sz w:val="24"/>
          <w:szCs w:val="24"/>
        </w:rPr>
        <w:t xml:space="preserve">», снижение </w:t>
      </w:r>
      <w:r w:rsidRPr="004557E8">
        <w:rPr>
          <w:rFonts w:ascii="Times New Roman" w:hAnsi="Times New Roman"/>
          <w:sz w:val="24"/>
          <w:szCs w:val="24"/>
          <w:cs/>
        </w:rPr>
        <w:t xml:space="preserve">- </w:t>
      </w:r>
      <w:r w:rsidRPr="004557E8">
        <w:rPr>
          <w:rFonts w:ascii="Times New Roman" w:hAnsi="Times New Roman"/>
          <w:sz w:val="24"/>
          <w:szCs w:val="24"/>
        </w:rPr>
        <w:t>«</w:t>
      </w:r>
      <w:r w:rsidRPr="004557E8">
        <w:rPr>
          <w:rFonts w:ascii="Times New Roman" w:hAnsi="Times New Roman"/>
          <w:sz w:val="24"/>
          <w:szCs w:val="24"/>
          <w:cs/>
        </w:rPr>
        <w:t>↓</w:t>
      </w:r>
      <w:r w:rsidRPr="004557E8">
        <w:rPr>
          <w:rFonts w:ascii="Times New Roman" w:hAnsi="Times New Roman"/>
          <w:sz w:val="24"/>
          <w:szCs w:val="24"/>
        </w:rPr>
        <w:t xml:space="preserve">», отсутствие изменений </w:t>
      </w:r>
      <w:r w:rsidRPr="004557E8">
        <w:rPr>
          <w:rFonts w:ascii="Times New Roman" w:hAnsi="Times New Roman"/>
          <w:sz w:val="24"/>
          <w:szCs w:val="24"/>
          <w:cs/>
        </w:rPr>
        <w:t xml:space="preserve">- </w:t>
      </w:r>
      <w:r w:rsidRPr="004557E8">
        <w:rPr>
          <w:rFonts w:ascii="Times New Roman" w:hAnsi="Times New Roman"/>
          <w:sz w:val="24"/>
          <w:szCs w:val="24"/>
        </w:rPr>
        <w:t>«</w:t>
      </w:r>
      <w:r w:rsidRPr="004557E8">
        <w:rPr>
          <w:rFonts w:ascii="Times New Roman" w:hAnsi="Times New Roman"/>
          <w:sz w:val="24"/>
          <w:szCs w:val="24"/>
          <w:cs/>
        </w:rPr>
        <w:t>↔</w:t>
      </w:r>
      <w:r w:rsidRPr="004557E8">
        <w:rPr>
          <w:rFonts w:ascii="Times New Roman" w:hAnsi="Times New Roman"/>
          <w:sz w:val="24"/>
          <w:szCs w:val="24"/>
        </w:rPr>
        <w:t xml:space="preserve">»; прием два раза в сутки обозначен «2 раза в сутки», одноразовая доза «ОД», прием один раз в сутки «1 раз в сутки». </w:t>
      </w:r>
      <w:r w:rsidR="00937D33" w:rsidRPr="004557E8">
        <w:rPr>
          <w:rFonts w:ascii="Times New Roman" w:hAnsi="Times New Roman"/>
          <w:sz w:val="24"/>
          <w:szCs w:val="24"/>
        </w:rPr>
        <w:t xml:space="preserve">Взаимодействия лекарственных средств, приведенные ниже, основаны на исследованиях, проведенных с использованием </w:t>
      </w:r>
      <w:proofErr w:type="spellStart"/>
      <w:r w:rsidR="00937D33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937D33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D33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="00937D33" w:rsidRPr="004557E8">
        <w:rPr>
          <w:rFonts w:ascii="Times New Roman" w:hAnsi="Times New Roman"/>
          <w:sz w:val="24"/>
          <w:szCs w:val="24"/>
        </w:rPr>
        <w:t xml:space="preserve">, или являются потенциальными взаимодействиями лекарственных средств, которые могут иметь место с использованием </w:t>
      </w:r>
      <w:proofErr w:type="spellStart"/>
      <w:r w:rsidR="00937D33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937D33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D33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="00937D33" w:rsidRPr="004557E8">
        <w:rPr>
          <w:rFonts w:ascii="Times New Roman" w:hAnsi="Times New Roman"/>
          <w:sz w:val="24"/>
          <w:szCs w:val="24"/>
        </w:rPr>
        <w:t>.</w:t>
      </w:r>
    </w:p>
    <w:p w14:paraId="116C09A6" w14:textId="77777777" w:rsidR="00C65927" w:rsidRPr="004557E8" w:rsidRDefault="007761D4" w:rsidP="003E01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57E8">
        <w:rPr>
          <w:rFonts w:ascii="Times New Roman" w:hAnsi="Times New Roman"/>
          <w:bCs/>
          <w:sz w:val="24"/>
          <w:szCs w:val="24"/>
        </w:rPr>
        <w:t xml:space="preserve">Таблица 1. Взаимодействие </w:t>
      </w:r>
      <w:proofErr w:type="spellStart"/>
      <w:r w:rsidR="00C1087E" w:rsidRPr="004557E8">
        <w:rPr>
          <w:rFonts w:ascii="Times New Roman" w:hAnsi="Times New Roman"/>
          <w:bCs/>
          <w:sz w:val="24"/>
          <w:szCs w:val="24"/>
        </w:rPr>
        <w:t>тенофовира</w:t>
      </w:r>
      <w:proofErr w:type="spellEnd"/>
      <w:r w:rsidR="00C1087E" w:rsidRPr="004557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1087E" w:rsidRPr="004557E8">
        <w:rPr>
          <w:rFonts w:ascii="Times New Roman" w:hAnsi="Times New Roman"/>
          <w:bCs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bCs/>
          <w:sz w:val="24"/>
          <w:szCs w:val="24"/>
        </w:rPr>
        <w:t xml:space="preserve"> с другими лекарственными препаратами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696"/>
        <w:gridCol w:w="3278"/>
      </w:tblGrid>
      <w:tr w:rsidR="00776CF4" w:rsidRPr="004557E8" w14:paraId="35673515" w14:textId="77777777" w:rsidTr="0070101B">
        <w:trPr>
          <w:trHeight w:val="1789"/>
        </w:trPr>
        <w:tc>
          <w:tcPr>
            <w:tcW w:w="3003" w:type="dxa"/>
            <w:shd w:val="clear" w:color="auto" w:fill="auto"/>
          </w:tcPr>
          <w:p w14:paraId="78BAED88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>Лекарственные препараты по терапевтическим областям</w:t>
            </w:r>
          </w:p>
        </w:tc>
        <w:tc>
          <w:tcPr>
            <w:tcW w:w="2696" w:type="dxa"/>
            <w:shd w:val="clear" w:color="auto" w:fill="auto"/>
          </w:tcPr>
          <w:p w14:paraId="36377E81" w14:textId="77777777" w:rsidR="00776CF4" w:rsidRPr="004557E8" w:rsidRDefault="00776CF4" w:rsidP="003E017A">
            <w:pPr>
              <w:keepNext/>
              <w:keepLine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Влияние на уровни лекарственных </w:t>
            </w:r>
            <w:proofErr w:type="spellStart"/>
            <w:proofErr w:type="gramStart"/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>препаратов</w:t>
            </w:r>
            <w:r w:rsidRPr="004557E8">
              <w:rPr>
                <w:rFonts w:ascii="Times New Roman" w:eastAsia="SimSun" w:hAnsi="Times New Roman"/>
                <w:b/>
                <w:sz w:val="24"/>
                <w:szCs w:val="24"/>
                <w:vertAlign w:val="superscript"/>
              </w:rPr>
              <w:t>а,б</w:t>
            </w:r>
            <w:proofErr w:type="spellEnd"/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>.</w:t>
            </w:r>
            <w:proofErr w:type="gramEnd"/>
          </w:p>
          <w:p w14:paraId="09FCFDB3" w14:textId="77777777" w:rsidR="00776CF4" w:rsidRPr="004557E8" w:rsidRDefault="00546519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>Среднее отношение (90</w:t>
            </w:r>
            <w:r w:rsidR="00776CF4"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% доверительный интервал) AUC, </w:t>
            </w:r>
            <w:proofErr w:type="spellStart"/>
            <w:r w:rsidR="00776CF4"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  <w:r w:rsidR="00776CF4" w:rsidRPr="004557E8">
              <w:rPr>
                <w:rFonts w:ascii="Times New Roman" w:eastAsia="SimSun" w:hAnsi="Times New Roman"/>
                <w:b/>
                <w:sz w:val="24"/>
                <w:szCs w:val="24"/>
                <w:vertAlign w:val="subscript"/>
              </w:rPr>
              <w:t>max</w:t>
            </w:r>
            <w:proofErr w:type="spellEnd"/>
            <w:r w:rsidR="00776CF4"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76CF4"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  <w:r w:rsidR="00776CF4" w:rsidRPr="004557E8">
              <w:rPr>
                <w:rFonts w:ascii="Times New Roman" w:eastAsia="SimSun" w:hAnsi="Times New Roman"/>
                <w:b/>
                <w:sz w:val="24"/>
                <w:szCs w:val="24"/>
                <w:vertAlign w:val="subscript"/>
              </w:rPr>
              <w:t>min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499D5F8B" w14:textId="77777777" w:rsidR="00776CF4" w:rsidRPr="004557E8" w:rsidRDefault="00474FDD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Рекомендации касательно сопутствующего приема лекарственного препарата и </w:t>
            </w:r>
            <w:proofErr w:type="spellStart"/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>тенофовира</w:t>
            </w:r>
            <w:proofErr w:type="spellEnd"/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b/>
                <w:sz w:val="24"/>
                <w:szCs w:val="24"/>
              </w:rPr>
              <w:t>алафенамида</w:t>
            </w:r>
            <w:proofErr w:type="spellEnd"/>
          </w:p>
        </w:tc>
      </w:tr>
      <w:tr w:rsidR="00776CF4" w:rsidRPr="004557E8" w14:paraId="7A3175ED" w14:textId="77777777" w:rsidTr="0070101B">
        <w:trPr>
          <w:trHeight w:val="391"/>
        </w:trPr>
        <w:tc>
          <w:tcPr>
            <w:tcW w:w="8953" w:type="dxa"/>
            <w:gridSpan w:val="3"/>
            <w:shd w:val="clear" w:color="auto" w:fill="auto"/>
          </w:tcPr>
          <w:p w14:paraId="536C3B72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Противосудорожные средства</w:t>
            </w:r>
          </w:p>
        </w:tc>
      </w:tr>
      <w:tr w:rsidR="00776CF4" w:rsidRPr="004557E8" w14:paraId="65CCE93A" w14:textId="77777777" w:rsidTr="0070101B">
        <w:tc>
          <w:tcPr>
            <w:tcW w:w="3003" w:type="dxa"/>
            <w:shd w:val="clear" w:color="auto" w:fill="auto"/>
          </w:tcPr>
          <w:p w14:paraId="56860C6B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Карбамазепин</w:t>
            </w:r>
            <w:proofErr w:type="spellEnd"/>
          </w:p>
          <w:p w14:paraId="6F974081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(300 мг перорально, 2 раза в сутки)</w:t>
            </w:r>
          </w:p>
          <w:p w14:paraId="18929AB0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4B45154C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(25 мг перорально, ОД)</w:t>
            </w:r>
          </w:p>
        </w:tc>
        <w:tc>
          <w:tcPr>
            <w:tcW w:w="2696" w:type="dxa"/>
            <w:shd w:val="clear" w:color="auto" w:fill="auto"/>
          </w:tcPr>
          <w:p w14:paraId="344EE9C3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526ABFEC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↓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0.43 (0.36, 0.51)</w:t>
            </w:r>
          </w:p>
          <w:p w14:paraId="645191A8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↓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0.45 (0.40, 0.51)</w:t>
            </w:r>
          </w:p>
          <w:p w14:paraId="284DBA77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shd w:val="clear" w:color="000000" w:fill="auto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48F7384D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↓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0.70 (0.65, 0.74)</w:t>
            </w:r>
          </w:p>
          <w:p w14:paraId="4F37D057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0.77 (0.74, 0.81)</w:t>
            </w:r>
          </w:p>
        </w:tc>
        <w:tc>
          <w:tcPr>
            <w:tcW w:w="3254" w:type="dxa"/>
            <w:shd w:val="clear" w:color="auto" w:fill="auto"/>
          </w:tcPr>
          <w:p w14:paraId="2B4088CD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776CF4" w:rsidRPr="004557E8" w14:paraId="2C88F51B" w14:textId="77777777" w:rsidTr="0070101B">
        <w:tc>
          <w:tcPr>
            <w:tcW w:w="3003" w:type="dxa"/>
            <w:shd w:val="clear" w:color="auto" w:fill="auto"/>
          </w:tcPr>
          <w:p w14:paraId="011C3E3A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Окскарбазепин</w:t>
            </w:r>
            <w:proofErr w:type="spellEnd"/>
          </w:p>
          <w:p w14:paraId="338BD69E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Фенобарбитал</w:t>
            </w:r>
          </w:p>
          <w:p w14:paraId="16B530F0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000000" w:fill="auto"/>
              </w:rPr>
            </w:pPr>
          </w:p>
        </w:tc>
        <w:tc>
          <w:tcPr>
            <w:tcW w:w="2696" w:type="dxa"/>
            <w:shd w:val="clear" w:color="auto" w:fill="auto"/>
          </w:tcPr>
          <w:p w14:paraId="40231562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Взаимодействие не изучено.</w:t>
            </w:r>
          </w:p>
          <w:p w14:paraId="1CF8168D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Ожидаемое:</w:t>
            </w:r>
          </w:p>
          <w:p w14:paraId="7485D505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↓ 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4D4A0AB1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776CF4" w:rsidRPr="004557E8" w14:paraId="7B8DC2C1" w14:textId="77777777" w:rsidTr="0070101B">
        <w:tc>
          <w:tcPr>
            <w:tcW w:w="3003" w:type="dxa"/>
            <w:shd w:val="clear" w:color="auto" w:fill="auto"/>
          </w:tcPr>
          <w:p w14:paraId="1D2FC741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Фенитоин</w:t>
            </w:r>
          </w:p>
        </w:tc>
        <w:tc>
          <w:tcPr>
            <w:tcW w:w="2696" w:type="dxa"/>
            <w:shd w:val="clear" w:color="auto" w:fill="auto"/>
          </w:tcPr>
          <w:p w14:paraId="4CFBD62A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Взаимодействие не изучено.</w:t>
            </w:r>
          </w:p>
          <w:p w14:paraId="7453E305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Ожидаемое:</w:t>
            </w:r>
          </w:p>
          <w:p w14:paraId="513927E2" w14:textId="77777777" w:rsidR="00776CF4" w:rsidRPr="004557E8" w:rsidRDefault="00776CF4" w:rsidP="003E017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↓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18BBE6B1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776CF4" w:rsidRPr="004557E8" w14:paraId="534D31EA" w14:textId="77777777" w:rsidTr="0070101B">
        <w:tc>
          <w:tcPr>
            <w:tcW w:w="3003" w:type="dxa"/>
            <w:shd w:val="clear" w:color="auto" w:fill="auto"/>
          </w:tcPr>
          <w:p w14:paraId="087557A2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Мидазолам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г</w:t>
            </w:r>
            <w:proofErr w:type="spellEnd"/>
          </w:p>
          <w:p w14:paraId="18AF9C86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(2.5 мг перорально, ОД)</w:t>
            </w:r>
          </w:p>
          <w:p w14:paraId="24147CC6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41038555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(25 мг перорально, 1 раз в сутки)</w:t>
            </w:r>
          </w:p>
        </w:tc>
        <w:tc>
          <w:tcPr>
            <w:tcW w:w="2696" w:type="dxa"/>
            <w:shd w:val="clear" w:color="auto" w:fill="auto"/>
          </w:tcPr>
          <w:p w14:paraId="3F1ED9B5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lastRenderedPageBreak/>
              <w:t>Мидазолам</w:t>
            </w:r>
            <w:proofErr w:type="spellEnd"/>
          </w:p>
          <w:p w14:paraId="1D92C7B4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1.02 (0.92, 1.13)</w:t>
            </w:r>
          </w:p>
          <w:p w14:paraId="2303FACA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1.13 (1.04, 1.23)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AB8EC46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мидазолама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(перорально или в/в) не требуется.</w:t>
            </w:r>
          </w:p>
        </w:tc>
      </w:tr>
      <w:tr w:rsidR="00776CF4" w:rsidRPr="004557E8" w14:paraId="0D1263D0" w14:textId="77777777" w:rsidTr="0070101B">
        <w:tc>
          <w:tcPr>
            <w:tcW w:w="3003" w:type="dxa"/>
            <w:shd w:val="clear" w:color="auto" w:fill="auto"/>
          </w:tcPr>
          <w:p w14:paraId="5380BAD8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Мидазолам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г</w:t>
            </w:r>
            <w:proofErr w:type="spellEnd"/>
          </w:p>
          <w:p w14:paraId="0C8CCC56" w14:textId="77777777" w:rsidR="00546519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(1 мг внутривенно, ОД)</w:t>
            </w:r>
          </w:p>
          <w:p w14:paraId="1087A6E2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3F19E2F3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5F245C9E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Мидазолам</w:t>
            </w:r>
            <w:proofErr w:type="spellEnd"/>
          </w:p>
          <w:p w14:paraId="1101F929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0.99 (0.89, 1.11)</w:t>
            </w:r>
          </w:p>
          <w:p w14:paraId="13C0529E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1.08 (1.04, 1.14)</w:t>
            </w:r>
          </w:p>
        </w:tc>
        <w:tc>
          <w:tcPr>
            <w:tcW w:w="3254" w:type="dxa"/>
            <w:vMerge/>
            <w:shd w:val="clear" w:color="auto" w:fill="auto"/>
          </w:tcPr>
          <w:p w14:paraId="542E3E21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76CF4" w:rsidRPr="004557E8" w14:paraId="32CF9616" w14:textId="77777777" w:rsidTr="0070101B">
        <w:trPr>
          <w:trHeight w:val="308"/>
        </w:trPr>
        <w:tc>
          <w:tcPr>
            <w:tcW w:w="8953" w:type="dxa"/>
            <w:gridSpan w:val="3"/>
            <w:shd w:val="clear" w:color="auto" w:fill="auto"/>
          </w:tcPr>
          <w:p w14:paraId="158BE4A7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Антидепрессанты</w:t>
            </w:r>
          </w:p>
        </w:tc>
      </w:tr>
      <w:tr w:rsidR="00776CF4" w:rsidRPr="004557E8" w14:paraId="5603DA9B" w14:textId="77777777" w:rsidTr="0070101B">
        <w:tc>
          <w:tcPr>
            <w:tcW w:w="3003" w:type="dxa"/>
            <w:shd w:val="clear" w:color="auto" w:fill="auto"/>
          </w:tcPr>
          <w:p w14:paraId="60BDA567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Сертралин</w:t>
            </w:r>
            <w:proofErr w:type="spellEnd"/>
          </w:p>
          <w:p w14:paraId="667F5155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(50 мг перорально, ОД)</w:t>
            </w:r>
          </w:p>
          <w:p w14:paraId="3D601FD1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д</w:t>
            </w:r>
            <w:proofErr w:type="spellEnd"/>
          </w:p>
          <w:p w14:paraId="2BB16B05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(10 мг перорально, 1 раз в сутки)</w:t>
            </w:r>
          </w:p>
        </w:tc>
        <w:tc>
          <w:tcPr>
            <w:tcW w:w="2696" w:type="dxa"/>
            <w:shd w:val="clear" w:color="auto" w:fill="auto"/>
          </w:tcPr>
          <w:p w14:paraId="50636D57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Тенофовира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11668A3C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1.00 (0.86, 1.16)</w:t>
            </w:r>
          </w:p>
          <w:p w14:paraId="25D1DB4B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0.96 (0.89, 1.03)</w:t>
            </w:r>
          </w:p>
          <w:p w14:paraId="7ED68843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07365F24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.10 (1.00, 1.21)</w:t>
            </w:r>
          </w:p>
          <w:p w14:paraId="4BEC91AA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1.02 (1.00, 1.04)</w:t>
            </w:r>
          </w:p>
          <w:p w14:paraId="4D9CF954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1.01 (0.99, 1.03)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1A15EBCD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сертралина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776CF4" w:rsidRPr="004557E8" w14:paraId="34C52500" w14:textId="77777777" w:rsidTr="0070101B">
        <w:tc>
          <w:tcPr>
            <w:tcW w:w="3003" w:type="dxa"/>
            <w:shd w:val="clear" w:color="auto" w:fill="auto"/>
          </w:tcPr>
          <w:p w14:paraId="6CE662EB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Сертралин</w:t>
            </w:r>
            <w:proofErr w:type="spellEnd"/>
          </w:p>
          <w:p w14:paraId="5D6DBFD0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(50 мг перорально, ОД)</w:t>
            </w:r>
          </w:p>
          <w:p w14:paraId="566484E0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д</w:t>
            </w:r>
            <w:proofErr w:type="spellEnd"/>
          </w:p>
          <w:p w14:paraId="694A57F2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(10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641CBF32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Сертралин</w:t>
            </w:r>
            <w:proofErr w:type="spellEnd"/>
          </w:p>
          <w:p w14:paraId="3DDFCAAA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1.14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(0.94, 1.38)</w:t>
            </w:r>
          </w:p>
          <w:p w14:paraId="4D6EAC01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0.93 (0.77, 1.13)</w:t>
            </w:r>
          </w:p>
        </w:tc>
        <w:tc>
          <w:tcPr>
            <w:tcW w:w="3254" w:type="dxa"/>
            <w:vMerge/>
            <w:shd w:val="clear" w:color="auto" w:fill="auto"/>
          </w:tcPr>
          <w:p w14:paraId="29C990CF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76CF4" w:rsidRPr="004557E8" w14:paraId="69FB7060" w14:textId="77777777" w:rsidTr="0070101B">
        <w:tc>
          <w:tcPr>
            <w:tcW w:w="8953" w:type="dxa"/>
            <w:gridSpan w:val="3"/>
            <w:shd w:val="clear" w:color="auto" w:fill="auto"/>
          </w:tcPr>
          <w:p w14:paraId="0A2935A3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Противогрибковые препараты</w:t>
            </w:r>
          </w:p>
        </w:tc>
      </w:tr>
      <w:tr w:rsidR="00776CF4" w:rsidRPr="004557E8" w14:paraId="4ED60C39" w14:textId="77777777" w:rsidTr="0070101B">
        <w:tc>
          <w:tcPr>
            <w:tcW w:w="3003" w:type="dxa"/>
            <w:shd w:val="clear" w:color="auto" w:fill="auto"/>
          </w:tcPr>
          <w:p w14:paraId="6E12FB9F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Итраконазол</w:t>
            </w:r>
            <w:proofErr w:type="spellEnd"/>
          </w:p>
          <w:p w14:paraId="694C006A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000000" w:fill="auto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Кетоконазол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23B8D3E0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04A50B66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Ожидаемое:</w:t>
            </w:r>
          </w:p>
          <w:p w14:paraId="4AB3056C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>↑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50E3D102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776CF4" w:rsidRPr="004557E8" w14:paraId="7F966D6F" w14:textId="77777777" w:rsidTr="0070101B">
        <w:tc>
          <w:tcPr>
            <w:tcW w:w="8953" w:type="dxa"/>
            <w:gridSpan w:val="3"/>
            <w:shd w:val="clear" w:color="auto" w:fill="auto"/>
          </w:tcPr>
          <w:p w14:paraId="049FC007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Противомикобактериальные</w:t>
            </w:r>
            <w:proofErr w:type="spellEnd"/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препараты</w:t>
            </w:r>
          </w:p>
        </w:tc>
      </w:tr>
      <w:tr w:rsidR="00776CF4" w:rsidRPr="004557E8" w14:paraId="5A2DA397" w14:textId="77777777" w:rsidTr="0070101B">
        <w:tc>
          <w:tcPr>
            <w:tcW w:w="3003" w:type="dxa"/>
            <w:shd w:val="clear" w:color="auto" w:fill="auto"/>
          </w:tcPr>
          <w:p w14:paraId="48F13190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Рифампицин</w:t>
            </w:r>
            <w:proofErr w:type="spellEnd"/>
          </w:p>
          <w:p w14:paraId="68072D10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000000" w:fill="auto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Рифапентин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7658B126" w14:textId="77777777" w:rsidR="00776CF4" w:rsidRPr="004557E8" w:rsidRDefault="00776CF4" w:rsidP="003E017A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4391060D" w14:textId="77777777" w:rsidR="00776CF4" w:rsidRPr="004557E8" w:rsidRDefault="00776CF4" w:rsidP="003E017A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Ожидаемое:</w:t>
            </w:r>
          </w:p>
          <w:p w14:paraId="2DA1F551" w14:textId="77777777" w:rsidR="00776CF4" w:rsidRPr="004557E8" w:rsidRDefault="00776CF4" w:rsidP="003E017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↓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394D010A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776CF4" w:rsidRPr="004557E8" w14:paraId="2EFC0324" w14:textId="77777777" w:rsidTr="0070101B">
        <w:tc>
          <w:tcPr>
            <w:tcW w:w="3003" w:type="dxa"/>
            <w:shd w:val="clear" w:color="auto" w:fill="auto"/>
          </w:tcPr>
          <w:p w14:paraId="23E9B239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Рифабутин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5766EA6E" w14:textId="77777777" w:rsidR="00776CF4" w:rsidRPr="004557E8" w:rsidRDefault="00776CF4" w:rsidP="003E017A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223C60DE" w14:textId="77777777" w:rsidR="00776CF4" w:rsidRPr="004557E8" w:rsidRDefault="00776CF4" w:rsidP="003E017A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Ожидаемое:</w:t>
            </w:r>
          </w:p>
          <w:p w14:paraId="015CF580" w14:textId="77777777" w:rsidR="00776CF4" w:rsidRPr="004557E8" w:rsidRDefault="00776CF4" w:rsidP="003E017A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↓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6642E299" w14:textId="77777777" w:rsidR="00776CF4" w:rsidRPr="004557E8" w:rsidRDefault="00776CF4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F46283" w:rsidRPr="004557E8" w14:paraId="541735AE" w14:textId="77777777" w:rsidTr="0070101B">
        <w:tc>
          <w:tcPr>
            <w:tcW w:w="8953" w:type="dxa"/>
            <w:gridSpan w:val="3"/>
            <w:shd w:val="clear" w:color="auto" w:fill="auto"/>
          </w:tcPr>
          <w:p w14:paraId="15114F2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Противовирусные препараты, действующие на ВГС</w:t>
            </w:r>
          </w:p>
        </w:tc>
      </w:tr>
      <w:tr w:rsidR="00F46283" w:rsidRPr="004557E8" w14:paraId="14C69BB1" w14:textId="77777777" w:rsidTr="0070101B">
        <w:tc>
          <w:tcPr>
            <w:tcW w:w="3003" w:type="dxa"/>
            <w:shd w:val="clear" w:color="auto" w:fill="auto"/>
          </w:tcPr>
          <w:p w14:paraId="1973473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(400 мг перорально, раз в сутки)</w:t>
            </w:r>
          </w:p>
        </w:tc>
        <w:tc>
          <w:tcPr>
            <w:tcW w:w="2696" w:type="dxa"/>
            <w:shd w:val="clear" w:color="auto" w:fill="auto"/>
          </w:tcPr>
          <w:p w14:paraId="76804EF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3361495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Ожидаемые:</w:t>
            </w:r>
          </w:p>
          <w:p w14:paraId="36478E0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</w:t>
            </w:r>
            <w:proofErr w:type="spellEnd"/>
          </w:p>
          <w:p w14:paraId="7221AE2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GS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noBreakHyphen/>
              <w:t>331007</w:t>
            </w:r>
          </w:p>
        </w:tc>
        <w:tc>
          <w:tcPr>
            <w:tcW w:w="3254" w:type="dxa"/>
            <w:shd w:val="clear" w:color="auto" w:fill="auto"/>
          </w:tcPr>
          <w:p w14:paraId="11235D7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7B4E1B62" w14:textId="77777777" w:rsidTr="0070101B">
        <w:tc>
          <w:tcPr>
            <w:tcW w:w="3003" w:type="dxa"/>
            <w:shd w:val="clear" w:color="auto" w:fill="auto"/>
          </w:tcPr>
          <w:p w14:paraId="224FA4E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Ледипасвир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</w:t>
            </w:r>
            <w:proofErr w:type="spellEnd"/>
          </w:p>
          <w:p w14:paraId="6474FB77" w14:textId="77777777" w:rsidR="00F24A7C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(90 мг/400 мг перорально, 1 раз в сутки)</w:t>
            </w:r>
          </w:p>
          <w:p w14:paraId="76DFF91E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е</w:t>
            </w:r>
            <w:proofErr w:type="spellEnd"/>
          </w:p>
          <w:p w14:paraId="0964DB8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7D46859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Ледипасвир</w:t>
            </w:r>
            <w:proofErr w:type="spellEnd"/>
          </w:p>
          <w:p w14:paraId="15809B0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1.01 (0.97, 1.05)</w:t>
            </w:r>
          </w:p>
          <w:p w14:paraId="01C7F7A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1.02 (0.97, 1.06)</w:t>
            </w:r>
          </w:p>
          <w:p w14:paraId="6F742CD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1.02 (0.98, 1.07)</w:t>
            </w:r>
          </w:p>
          <w:p w14:paraId="56E8FAEA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</w:t>
            </w:r>
            <w:proofErr w:type="spellEnd"/>
          </w:p>
          <w:p w14:paraId="42EEC67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0.96 (0.89, 1.04)</w:t>
            </w:r>
          </w:p>
          <w:p w14:paraId="5D3F91F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1.05 (1.01, 1.09)</w:t>
            </w:r>
          </w:p>
          <w:p w14:paraId="6ACEFA4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GS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noBreakHyphen/>
              <w:t>331007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ж</w:t>
            </w:r>
          </w:p>
          <w:p w14:paraId="21638DC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lastRenderedPageBreak/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1.08 (1.05, 1.11)</w:t>
            </w:r>
          </w:p>
          <w:p w14:paraId="03437A1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1.08 (1.06, 1.10)</w:t>
            </w:r>
          </w:p>
          <w:p w14:paraId="4EAF99E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1.10 (1.07, 1.12)</w:t>
            </w:r>
          </w:p>
          <w:p w14:paraId="41B0DD3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  <w:p w14:paraId="39232F5E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1.03 (0.94, 1.14)</w:t>
            </w:r>
          </w:p>
          <w:p w14:paraId="15DCFF5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1.32 (1.25, 1.40)</w:t>
            </w:r>
          </w:p>
          <w:p w14:paraId="5A3B9BE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</w:p>
          <w:p w14:paraId="3BD969E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1.62 (1.56, 1.68)</w:t>
            </w:r>
          </w:p>
          <w:p w14:paraId="1EBF989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1.75 (1.69, 1.81)</w:t>
            </w:r>
          </w:p>
          <w:p w14:paraId="374E512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1.85 (1.78, 1.92)</w:t>
            </w:r>
          </w:p>
        </w:tc>
        <w:tc>
          <w:tcPr>
            <w:tcW w:w="3254" w:type="dxa"/>
            <w:shd w:val="clear" w:color="auto" w:fill="auto"/>
          </w:tcPr>
          <w:p w14:paraId="528CB6D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ледипасвира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533579F5" w14:textId="77777777" w:rsidTr="0070101B">
        <w:tc>
          <w:tcPr>
            <w:tcW w:w="3003" w:type="dxa"/>
            <w:shd w:val="clear" w:color="auto" w:fill="auto"/>
          </w:tcPr>
          <w:p w14:paraId="7E7D65E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велпатасвир</w:t>
            </w:r>
            <w:proofErr w:type="spellEnd"/>
          </w:p>
          <w:p w14:paraId="2BBC218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(400 мг/100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6B5EBED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2CCCEC1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Ожидаемые:</w:t>
            </w:r>
          </w:p>
          <w:p w14:paraId="4C89229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Софосбувир</w:t>
            </w:r>
            <w:proofErr w:type="spellEnd"/>
          </w:p>
          <w:p w14:paraId="4401C41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GS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noBreakHyphen/>
              <w:t>331007</w:t>
            </w:r>
          </w:p>
          <w:p w14:paraId="12CC852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Велпатасвир</w:t>
            </w:r>
            <w:proofErr w:type="spellEnd"/>
          </w:p>
          <w:p w14:paraId="4B1C874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>↑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207F6AE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велпатасвира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DA04A3" w:rsidRPr="004557E8" w14:paraId="1DE98E23" w14:textId="77777777" w:rsidTr="0070101B">
        <w:tc>
          <w:tcPr>
            <w:tcW w:w="3003" w:type="dxa"/>
            <w:shd w:val="clear" w:color="auto" w:fill="auto"/>
          </w:tcPr>
          <w:p w14:paraId="45949BDF" w14:textId="77777777" w:rsidR="00DA04A3" w:rsidRPr="004557E8" w:rsidRDefault="00DA04A3" w:rsidP="003E017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велпатасвир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/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воксилапревир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(400 мг/ 100 мг/100 мг+100 мг</w:t>
            </w:r>
            <w:r w:rsidR="007B0551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и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 xml:space="preserve">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перорально, 1 раз в день)</w:t>
            </w:r>
          </w:p>
          <w:p w14:paraId="712C9B1E" w14:textId="77777777" w:rsidR="00DA04A3" w:rsidRPr="004557E8" w:rsidRDefault="00DA04A3" w:rsidP="003E017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="007B0551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е</w:t>
            </w:r>
            <w:proofErr w:type="spellEnd"/>
          </w:p>
          <w:p w14:paraId="5747B752" w14:textId="77777777" w:rsidR="00DA04A3" w:rsidRPr="004557E8" w:rsidRDefault="00DA04A3" w:rsidP="003E017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(25 мг внутрь, 1 раз в день)</w:t>
            </w:r>
          </w:p>
          <w:p w14:paraId="7550B481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14:paraId="3429B266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</w:t>
            </w:r>
            <w:proofErr w:type="spellEnd"/>
          </w:p>
          <w:p w14:paraId="3EADBE82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95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86, 1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05)</w:t>
            </w:r>
          </w:p>
          <w:p w14:paraId="2A7257B2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↔ AUC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01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97, 1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06)</w:t>
            </w:r>
          </w:p>
          <w:p w14:paraId="7F9B12AA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GS-331007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g</w:t>
            </w:r>
          </w:p>
          <w:p w14:paraId="7B27FD23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02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98, 1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06)</w:t>
            </w:r>
          </w:p>
          <w:p w14:paraId="482731CF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↔ AUC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04 (1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01, 1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06)</w:t>
            </w:r>
          </w:p>
          <w:p w14:paraId="22AEA30D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Велпатасвир</w:t>
            </w:r>
            <w:proofErr w:type="spellEnd"/>
          </w:p>
          <w:p w14:paraId="20B1DCD3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05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96, 1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16)</w:t>
            </w:r>
          </w:p>
          <w:p w14:paraId="62715FD8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↔ AUC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01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94, 1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07)</w:t>
            </w:r>
          </w:p>
          <w:p w14:paraId="3276CF77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01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95, 1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09)</w:t>
            </w:r>
          </w:p>
          <w:p w14:paraId="1301D496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Воксилапревир</w:t>
            </w:r>
            <w:proofErr w:type="spellEnd"/>
          </w:p>
          <w:p w14:paraId="4845357D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↔ 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  <w:lang w:val="en-US"/>
              </w:rPr>
              <w:t>max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96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84, 1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11)</w:t>
            </w:r>
          </w:p>
          <w:p w14:paraId="2221E2B0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↔ AUC 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94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84, 1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05)</w:t>
            </w:r>
          </w:p>
          <w:p w14:paraId="09025175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02 (0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92, 1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12)</w:t>
            </w:r>
          </w:p>
          <w:p w14:paraId="38FBAEFA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  <w:p w14:paraId="2A746C83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32 (1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17, 1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48)</w:t>
            </w:r>
          </w:p>
          <w:p w14:paraId="4F73A033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↑ AUC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52 (1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43, 1</w:t>
            </w:r>
            <w:r w:rsidR="000F067B" w:rsidRPr="004557E8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61)</w:t>
            </w:r>
          </w:p>
        </w:tc>
        <w:tc>
          <w:tcPr>
            <w:tcW w:w="3254" w:type="dxa"/>
            <w:shd w:val="clear" w:color="auto" w:fill="auto"/>
          </w:tcPr>
          <w:p w14:paraId="21D5B0BA" w14:textId="77777777" w:rsidR="00DA04A3" w:rsidRPr="004557E8" w:rsidRDefault="00DA04A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Коррекции дозы</w:t>
            </w:r>
            <w:r w:rsidR="003408EE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препарата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софосбувира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r w:rsidR="003408EE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велпатасвира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воксилапревира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7A95851C" w14:textId="77777777" w:rsidTr="0070101B">
        <w:tc>
          <w:tcPr>
            <w:tcW w:w="8953" w:type="dxa"/>
            <w:gridSpan w:val="3"/>
            <w:shd w:val="clear" w:color="auto" w:fill="auto"/>
          </w:tcPr>
          <w:p w14:paraId="23FEA1E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Антиретровирусные препараты, действующие на ВИЧ – ингибиторы протеазы</w:t>
            </w:r>
          </w:p>
        </w:tc>
      </w:tr>
      <w:tr w:rsidR="00F46283" w:rsidRPr="004557E8" w14:paraId="5698F4B4" w14:textId="77777777" w:rsidTr="0070101B">
        <w:tc>
          <w:tcPr>
            <w:tcW w:w="3003" w:type="dxa"/>
            <w:shd w:val="clear" w:color="auto" w:fill="auto"/>
          </w:tcPr>
          <w:p w14:paraId="552088D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Атазанавир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кобицистат</w:t>
            </w:r>
            <w:proofErr w:type="spellEnd"/>
          </w:p>
          <w:p w14:paraId="5C2EA21B" w14:textId="77777777" w:rsidR="00546519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(300 мг/150 мг перорально,1 раз в сутки)</w:t>
            </w:r>
          </w:p>
          <w:p w14:paraId="040DC54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1F55AB4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(10 мг перорально,</w:t>
            </w:r>
            <w:r w:rsidR="002828C7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1 раз в сутки)</w:t>
            </w:r>
          </w:p>
        </w:tc>
        <w:tc>
          <w:tcPr>
            <w:tcW w:w="2696" w:type="dxa"/>
            <w:shd w:val="clear" w:color="auto" w:fill="auto"/>
          </w:tcPr>
          <w:p w14:paraId="34989A0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Тенофовира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5D59290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1.80 (1.48, 2.18)</w:t>
            </w:r>
          </w:p>
          <w:p w14:paraId="4088A7E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1.75 (1.55, 1.98)</w:t>
            </w:r>
          </w:p>
          <w:p w14:paraId="559DE3A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2533EB0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3.16 (3.00, 3.33)</w:t>
            </w:r>
          </w:p>
          <w:p w14:paraId="53CCC94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3.47 (3.29, 3.67)</w:t>
            </w:r>
          </w:p>
          <w:p w14:paraId="7251AEA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3.73 (3.54, 3.93)</w:t>
            </w:r>
          </w:p>
          <w:p w14:paraId="42A6606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Атазанавир</w:t>
            </w:r>
            <w:proofErr w:type="spellEnd"/>
          </w:p>
          <w:p w14:paraId="03CC8B7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0.98 (0.94, 1.02)</w:t>
            </w:r>
          </w:p>
          <w:p w14:paraId="590EEB0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1.06 (1.01, 1.11)</w:t>
            </w:r>
          </w:p>
          <w:p w14:paraId="2C5A8DF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1.18 (1.06, 1.31)</w:t>
            </w:r>
          </w:p>
          <w:p w14:paraId="2904CED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Кобицистат</w:t>
            </w:r>
            <w:proofErr w:type="spellEnd"/>
          </w:p>
          <w:p w14:paraId="3880CC7A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0.96 (0.92, 1.00)</w:t>
            </w:r>
          </w:p>
          <w:p w14:paraId="4031362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1.05 (1.00, 1.09)</w:t>
            </w:r>
          </w:p>
          <w:p w14:paraId="3AF6EA6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1.35 (1.21, 1.51)</w:t>
            </w:r>
          </w:p>
        </w:tc>
        <w:tc>
          <w:tcPr>
            <w:tcW w:w="3254" w:type="dxa"/>
            <w:shd w:val="clear" w:color="auto" w:fill="auto"/>
          </w:tcPr>
          <w:p w14:paraId="2D8B5DC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F46283" w:rsidRPr="004557E8" w14:paraId="1BEA1B0C" w14:textId="77777777" w:rsidTr="0070101B">
        <w:tc>
          <w:tcPr>
            <w:tcW w:w="3003" w:type="dxa"/>
            <w:shd w:val="clear" w:color="auto" w:fill="auto"/>
          </w:tcPr>
          <w:p w14:paraId="44F088B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Атазанавир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ритонавир</w:t>
            </w:r>
            <w:proofErr w:type="spellEnd"/>
          </w:p>
          <w:p w14:paraId="5AB8A5F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(300 мг/100 мг перорально, 1 раз в сутки)</w:t>
            </w:r>
          </w:p>
          <w:p w14:paraId="78C419B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161BA70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(10 мг перорально, ОД)</w:t>
            </w:r>
          </w:p>
        </w:tc>
        <w:tc>
          <w:tcPr>
            <w:tcW w:w="2696" w:type="dxa"/>
            <w:shd w:val="clear" w:color="auto" w:fill="auto"/>
          </w:tcPr>
          <w:p w14:paraId="3DE267E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31B96FB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1.77 (1.28, 2.44)</w:t>
            </w:r>
          </w:p>
          <w:p w14:paraId="31FEEAE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1.91 (1.55, 2.35)</w:t>
            </w:r>
          </w:p>
          <w:p w14:paraId="1B85DD8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799086CA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2.12 (1.86, 2.43)</w:t>
            </w:r>
          </w:p>
          <w:p w14:paraId="388FF22A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2.62 (2.14, 3.20)</w:t>
            </w:r>
          </w:p>
          <w:p w14:paraId="0549F5A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Атазанавир</w:t>
            </w:r>
            <w:proofErr w:type="spellEnd"/>
          </w:p>
          <w:p w14:paraId="0160AFB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0.98 (0.89, 1.07)</w:t>
            </w:r>
          </w:p>
          <w:p w14:paraId="754239A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0.99 (0.96, 1.01)</w:t>
            </w:r>
          </w:p>
          <w:p w14:paraId="08AB8A2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1.00 (0.96, 1.04)</w:t>
            </w:r>
          </w:p>
        </w:tc>
        <w:tc>
          <w:tcPr>
            <w:tcW w:w="3254" w:type="dxa"/>
            <w:shd w:val="clear" w:color="auto" w:fill="auto"/>
          </w:tcPr>
          <w:p w14:paraId="37DFB33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F46283" w:rsidRPr="004557E8" w14:paraId="73AA95E4" w14:textId="77777777" w:rsidTr="0070101B">
        <w:tc>
          <w:tcPr>
            <w:tcW w:w="3003" w:type="dxa"/>
            <w:shd w:val="clear" w:color="auto" w:fill="auto"/>
          </w:tcPr>
          <w:p w14:paraId="7F1C505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Дарунавир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кобицистат</w:t>
            </w:r>
            <w:proofErr w:type="spellEnd"/>
          </w:p>
          <w:p w14:paraId="7C42B6D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800 мг/150 мг перорально, 1 раз в сутки)</w:t>
            </w:r>
          </w:p>
          <w:p w14:paraId="266CB6D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33AFF9A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01094C7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5CC65D8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0.93 (0.72, 1.21)</w:t>
            </w:r>
          </w:p>
          <w:p w14:paraId="40FF9D2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0.98 (0.80, 1.19)</w:t>
            </w:r>
          </w:p>
          <w:p w14:paraId="293D9A1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3B4C6C6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3.16 (3.00, 3.33)</w:t>
            </w:r>
          </w:p>
          <w:p w14:paraId="7DE73FF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3.24 (3.02, 3.47)</w:t>
            </w:r>
          </w:p>
          <w:p w14:paraId="2B8D1E4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3.21 (2.90, 3.54)</w:t>
            </w:r>
          </w:p>
          <w:p w14:paraId="5FCF4AE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Дарунавир</w:t>
            </w:r>
            <w:proofErr w:type="spellEnd"/>
          </w:p>
          <w:p w14:paraId="2E797A3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1.02 (0.96, 1.09)</w:t>
            </w:r>
          </w:p>
          <w:p w14:paraId="0551E12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0.99 (0.92, 1.07)</w:t>
            </w:r>
          </w:p>
          <w:p w14:paraId="31375ADA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0.97 (0.82, 1.15)</w:t>
            </w:r>
          </w:p>
          <w:p w14:paraId="33A5343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Кобицистат</w:t>
            </w:r>
            <w:proofErr w:type="spellEnd"/>
          </w:p>
          <w:p w14:paraId="63CFEAD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1.06 (1.00, 1.12)</w:t>
            </w:r>
          </w:p>
          <w:p w14:paraId="3A71B01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1.09 (1.03, 1.15)</w:t>
            </w:r>
          </w:p>
          <w:p w14:paraId="367D6F1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1.11 (0.98, 1.25)</w:t>
            </w:r>
          </w:p>
        </w:tc>
        <w:tc>
          <w:tcPr>
            <w:tcW w:w="3254" w:type="dxa"/>
            <w:shd w:val="clear" w:color="auto" w:fill="auto"/>
          </w:tcPr>
          <w:p w14:paraId="051AE40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F46283" w:rsidRPr="004557E8" w14:paraId="1F267081" w14:textId="77777777" w:rsidTr="0070101B">
        <w:tc>
          <w:tcPr>
            <w:tcW w:w="3003" w:type="dxa"/>
            <w:shd w:val="clear" w:color="auto" w:fill="auto"/>
          </w:tcPr>
          <w:p w14:paraId="7245324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Дарунавир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ритонавир</w:t>
            </w:r>
            <w:proofErr w:type="spellEnd"/>
          </w:p>
          <w:p w14:paraId="63A5CD2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(800 мг/100 мг перорально, 1 раз в сутки)</w:t>
            </w:r>
          </w:p>
          <w:p w14:paraId="6ABBBCB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3F437BC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(10 мг перорально, ОД)</w:t>
            </w:r>
          </w:p>
        </w:tc>
        <w:tc>
          <w:tcPr>
            <w:tcW w:w="2696" w:type="dxa"/>
            <w:shd w:val="clear" w:color="auto" w:fill="auto"/>
          </w:tcPr>
          <w:p w14:paraId="1AEFEC6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014C782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1.42 (0.96, 2.09)</w:t>
            </w:r>
          </w:p>
          <w:p w14:paraId="6DAADA2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1.06 (0.84, 1.35)</w:t>
            </w:r>
          </w:p>
          <w:p w14:paraId="4E80879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33DE039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2.42 (1.98, 2.95)</w:t>
            </w:r>
          </w:p>
          <w:p w14:paraId="673DAFD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2.05 (1.54, 2.72)</w:t>
            </w:r>
          </w:p>
          <w:p w14:paraId="448FDD7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Дарунавир</w:t>
            </w:r>
            <w:proofErr w:type="spellEnd"/>
          </w:p>
          <w:p w14:paraId="5E2F081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0.99 (0.91, 1.08)</w:t>
            </w:r>
          </w:p>
          <w:p w14:paraId="4D559A7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1.01 (0.96, 1.06)</w:t>
            </w:r>
          </w:p>
          <w:p w14:paraId="6812BD3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1.13 (0.95, 1.34)</w:t>
            </w:r>
          </w:p>
        </w:tc>
        <w:tc>
          <w:tcPr>
            <w:tcW w:w="3254" w:type="dxa"/>
            <w:shd w:val="clear" w:color="auto" w:fill="auto"/>
          </w:tcPr>
          <w:p w14:paraId="31F1AA7E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F46283" w:rsidRPr="004557E8" w14:paraId="72B175C4" w14:textId="77777777" w:rsidTr="0070101B">
        <w:tc>
          <w:tcPr>
            <w:tcW w:w="3003" w:type="dxa"/>
            <w:shd w:val="clear" w:color="auto" w:fill="auto"/>
          </w:tcPr>
          <w:p w14:paraId="20B6B85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Лопинавир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ритонавир</w:t>
            </w:r>
            <w:proofErr w:type="spellEnd"/>
          </w:p>
          <w:p w14:paraId="1CCAB34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(800 мг/200 мг перорально, 1 раз в сутки)</w:t>
            </w:r>
          </w:p>
          <w:p w14:paraId="274C842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3D77CD4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(10 мг перорально, ОД)</w:t>
            </w:r>
          </w:p>
        </w:tc>
        <w:tc>
          <w:tcPr>
            <w:tcW w:w="2696" w:type="dxa"/>
            <w:shd w:val="clear" w:color="auto" w:fill="auto"/>
          </w:tcPr>
          <w:p w14:paraId="380BCEBA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3806818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2.19 (1.72, 2.79)</w:t>
            </w:r>
          </w:p>
          <w:p w14:paraId="6CA4B8B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1.47 (1.17, 1.85)</w:t>
            </w:r>
          </w:p>
          <w:p w14:paraId="0650258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4BBD1B2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3.75 (3.19, 4.39)</w:t>
            </w:r>
          </w:p>
          <w:p w14:paraId="30C6FF2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4.16 (3.50, 4.96)</w:t>
            </w:r>
          </w:p>
          <w:p w14:paraId="5D377B8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Лопинавир</w:t>
            </w:r>
            <w:proofErr w:type="spellEnd"/>
          </w:p>
          <w:p w14:paraId="348A7CE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1.00 (0.95, 1.06)</w:t>
            </w:r>
          </w:p>
          <w:p w14:paraId="3FE7613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1.00 (0.92, 1.09)</w:t>
            </w:r>
          </w:p>
          <w:p w14:paraId="2A8A7CD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0.98 (0.85, 1.12)</w:t>
            </w:r>
          </w:p>
        </w:tc>
        <w:tc>
          <w:tcPr>
            <w:tcW w:w="3254" w:type="dxa"/>
            <w:shd w:val="clear" w:color="auto" w:fill="auto"/>
          </w:tcPr>
          <w:p w14:paraId="1DE4EEF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F46283" w:rsidRPr="004557E8" w14:paraId="015E9EF6" w14:textId="77777777" w:rsidTr="0070101B">
        <w:tc>
          <w:tcPr>
            <w:tcW w:w="3003" w:type="dxa"/>
            <w:shd w:val="clear" w:color="auto" w:fill="auto"/>
          </w:tcPr>
          <w:p w14:paraId="1CFFC4D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Типранавир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ритонавир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1B2EF71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73CB2EA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Ожидаемое:</w:t>
            </w:r>
          </w:p>
          <w:p w14:paraId="54C8FCE7" w14:textId="77777777" w:rsidR="00F46283" w:rsidRPr="004557E8" w:rsidRDefault="00F46283" w:rsidP="003E017A">
            <w:pPr>
              <w:tabs>
                <w:tab w:val="left" w:pos="175"/>
              </w:tabs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↓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3D9B141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E6217E" w:rsidRPr="004557E8" w14:paraId="25062A98" w14:textId="77777777" w:rsidTr="0070101B">
        <w:tc>
          <w:tcPr>
            <w:tcW w:w="8953" w:type="dxa"/>
            <w:gridSpan w:val="3"/>
            <w:shd w:val="clear" w:color="auto" w:fill="auto"/>
          </w:tcPr>
          <w:p w14:paraId="2604E65C" w14:textId="77777777" w:rsidR="00E6217E" w:rsidRPr="004557E8" w:rsidRDefault="00E6217E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Антиретровирусные агенты ВИЧ – ингибиторы </w:t>
            </w:r>
            <w:proofErr w:type="spellStart"/>
            <w:r w:rsidRPr="004557E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интегразы</w:t>
            </w:r>
            <w:proofErr w:type="spellEnd"/>
          </w:p>
        </w:tc>
      </w:tr>
      <w:tr w:rsidR="00F46283" w:rsidRPr="004557E8" w14:paraId="3196F658" w14:textId="77777777" w:rsidTr="0070101B">
        <w:tc>
          <w:tcPr>
            <w:tcW w:w="3003" w:type="dxa"/>
            <w:shd w:val="clear" w:color="auto" w:fill="auto"/>
          </w:tcPr>
          <w:p w14:paraId="789CE00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Долутегравир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354B1D5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(50 мг перорально, 1 раз в сутки)</w:t>
            </w:r>
            <w:r w:rsidR="00546519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1DB2261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566D229E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(10 мг перорально, ОД)</w:t>
            </w:r>
          </w:p>
        </w:tc>
        <w:tc>
          <w:tcPr>
            <w:tcW w:w="2696" w:type="dxa"/>
            <w:shd w:val="clear" w:color="auto" w:fill="auto"/>
          </w:tcPr>
          <w:p w14:paraId="33D5D97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  <w:p w14:paraId="2E03C04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lastRenderedPageBreak/>
              <w:t xml:space="preserve">↑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1.24 (0.88, 1.74)</w:t>
            </w:r>
          </w:p>
          <w:p w14:paraId="60F46A2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1.19 (0.96, 1.48)</w:t>
            </w:r>
          </w:p>
          <w:p w14:paraId="1B98B4B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</w:p>
          <w:p w14:paraId="4C593E1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1.10 (0.96, 1.25)</w:t>
            </w:r>
          </w:p>
          <w:p w14:paraId="16B1183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↑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1.25 (1.06, 1.47)</w:t>
            </w:r>
          </w:p>
          <w:p w14:paraId="22FA872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Долутегравир</w:t>
            </w:r>
            <w:proofErr w:type="spellEnd"/>
          </w:p>
          <w:p w14:paraId="001F3A6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1.15 (1.04, 1.27)</w:t>
            </w:r>
          </w:p>
          <w:p w14:paraId="491088D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1.02 (0.97, 1.08)</w:t>
            </w:r>
          </w:p>
          <w:p w14:paraId="1A5D760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1.05 (0.97, 1.13)</w:t>
            </w:r>
          </w:p>
        </w:tc>
        <w:tc>
          <w:tcPr>
            <w:tcW w:w="3254" w:type="dxa"/>
            <w:shd w:val="clear" w:color="auto" w:fill="auto"/>
          </w:tcPr>
          <w:p w14:paraId="0E85799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долутегравира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17C81BD4" w14:textId="77777777" w:rsidTr="0070101B">
        <w:tc>
          <w:tcPr>
            <w:tcW w:w="3003" w:type="dxa"/>
            <w:shd w:val="clear" w:color="auto" w:fill="auto"/>
          </w:tcPr>
          <w:p w14:paraId="077548F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Ралтегравир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397BF72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63C5767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Ожидаемые:</w:t>
            </w:r>
          </w:p>
          <w:p w14:paraId="295DE71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  <w:p w14:paraId="1277BBA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Ралтегравир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1667663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ралтегравира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20ECE0E8" w14:textId="77777777" w:rsidTr="0070101B">
        <w:tc>
          <w:tcPr>
            <w:tcW w:w="8953" w:type="dxa"/>
            <w:gridSpan w:val="3"/>
            <w:shd w:val="clear" w:color="auto" w:fill="auto"/>
          </w:tcPr>
          <w:p w14:paraId="72E0461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Антиретровирусные препараты, действующие на ВИЧ – </w:t>
            </w:r>
            <w:proofErr w:type="spellStart"/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ненуклеозидные</w:t>
            </w:r>
            <w:proofErr w:type="spellEnd"/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ингибиторы обратной транскриптазы</w:t>
            </w:r>
          </w:p>
        </w:tc>
      </w:tr>
      <w:tr w:rsidR="00F46283" w:rsidRPr="004557E8" w14:paraId="5F1EA3F3" w14:textId="77777777" w:rsidTr="0070101B">
        <w:tc>
          <w:tcPr>
            <w:tcW w:w="3003" w:type="dxa"/>
            <w:shd w:val="clear" w:color="auto" w:fill="auto"/>
          </w:tcPr>
          <w:p w14:paraId="3A7CD8F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Эфавиренз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629BFD1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(600 мг перорально, 1 раз в сутки)</w:t>
            </w:r>
            <w:r w:rsidR="00546519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1548CC7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з</w:t>
            </w:r>
            <w:proofErr w:type="spellEnd"/>
          </w:p>
          <w:p w14:paraId="24D805A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(40 мг 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0E5CF7F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1FA25A1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↓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0.78 (0.58, 1.05)</w:t>
            </w:r>
          </w:p>
          <w:p w14:paraId="3267BCAA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0.86 (0.72, 1.02)</w:t>
            </w:r>
          </w:p>
          <w:p w14:paraId="50BD8D1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12DA823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↓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0.75 (0.67, 0.86)</w:t>
            </w:r>
          </w:p>
          <w:p w14:paraId="63C1A60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0.80 (0.73, 0.87)</w:t>
            </w:r>
          </w:p>
          <w:p w14:paraId="170A7F8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0.82 (0.75, 0.89)</w:t>
            </w:r>
          </w:p>
          <w:p w14:paraId="08CA5D78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Ожидаемое:</w:t>
            </w:r>
          </w:p>
          <w:p w14:paraId="567083C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Эфавиренз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357B880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эфавиренза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3C8A3FA1" w14:textId="77777777" w:rsidTr="0070101B">
        <w:tc>
          <w:tcPr>
            <w:tcW w:w="3003" w:type="dxa"/>
            <w:shd w:val="clear" w:color="auto" w:fill="auto"/>
          </w:tcPr>
          <w:p w14:paraId="3584839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Невирапин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37B8D0F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48351B1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Ожидаемые:</w:t>
            </w:r>
          </w:p>
          <w:p w14:paraId="385C7A1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>↔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  <w:p w14:paraId="4EC4F4E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Невирапин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74F3803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невирапина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3613B177" w14:textId="77777777" w:rsidTr="0070101B">
        <w:tc>
          <w:tcPr>
            <w:tcW w:w="3003" w:type="dxa"/>
            <w:shd w:val="clear" w:color="auto" w:fill="auto"/>
          </w:tcPr>
          <w:p w14:paraId="1EB7DD5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Рилпивирин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0EB2B13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(25 мг перорально, 1 раз в сутки)</w:t>
            </w:r>
            <w:r w:rsidR="00546519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784457D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  <w:p w14:paraId="70EA2E3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62FCCC4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алафенамид</w:t>
            </w:r>
            <w:proofErr w:type="spellEnd"/>
          </w:p>
          <w:p w14:paraId="17358BD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1.01 (0.84, 1.22)</w:t>
            </w:r>
          </w:p>
          <w:p w14:paraId="7C42C55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1.01 (0.94, 1.09)</w:t>
            </w:r>
          </w:p>
          <w:p w14:paraId="2898AB3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Тенофовир</w:t>
            </w:r>
            <w:proofErr w:type="spellEnd"/>
          </w:p>
          <w:p w14:paraId="03EC268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1.13 (1.02, 1.23)</w:t>
            </w:r>
          </w:p>
          <w:p w14:paraId="158EFDE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1.11 (1.07, 1.14)</w:t>
            </w:r>
          </w:p>
          <w:p w14:paraId="29B07B1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1.18 (1.13, 1.23)</w:t>
            </w:r>
          </w:p>
          <w:p w14:paraId="726EDCD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Рилпивирин</w:t>
            </w:r>
            <w:proofErr w:type="spellEnd"/>
          </w:p>
          <w:p w14:paraId="221B533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0.93 (0.87, 0.99)</w:t>
            </w:r>
          </w:p>
          <w:p w14:paraId="0D542B7E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AUC 1.01 (0.96, 1.06)</w:t>
            </w:r>
          </w:p>
          <w:p w14:paraId="71153153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1.13 (1.04, 1.23)</w:t>
            </w:r>
          </w:p>
        </w:tc>
        <w:tc>
          <w:tcPr>
            <w:tcW w:w="3254" w:type="dxa"/>
            <w:shd w:val="clear" w:color="auto" w:fill="auto"/>
          </w:tcPr>
          <w:p w14:paraId="551231F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рилпивирина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0E6F5173" w14:textId="77777777" w:rsidTr="0070101B">
        <w:tc>
          <w:tcPr>
            <w:tcW w:w="8953" w:type="dxa"/>
            <w:gridSpan w:val="3"/>
            <w:shd w:val="clear" w:color="auto" w:fill="auto"/>
          </w:tcPr>
          <w:p w14:paraId="2C8BE8D0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val="kk-KZ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Антиретровирусные препараты, действующие на ВИЧ – антагонисты рецептора </w:t>
            </w:r>
            <w:r w:rsidRPr="004557E8">
              <w:rPr>
                <w:rFonts w:ascii="Times New Roman" w:eastAsia="SimSun" w:hAnsi="Times New Roman"/>
                <w:i/>
                <w:sz w:val="24"/>
                <w:szCs w:val="24"/>
                <w:lang w:val="en-US"/>
              </w:rPr>
              <w:t>CCR</w:t>
            </w: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5</w:t>
            </w:r>
          </w:p>
        </w:tc>
      </w:tr>
      <w:tr w:rsidR="00F46283" w:rsidRPr="004557E8" w14:paraId="69C2C9C6" w14:textId="77777777" w:rsidTr="0070101B">
        <w:tc>
          <w:tcPr>
            <w:tcW w:w="3003" w:type="dxa"/>
            <w:shd w:val="clear" w:color="auto" w:fill="auto"/>
          </w:tcPr>
          <w:p w14:paraId="5F94731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Маравирок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5D10B3D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64D0218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Ожидаемые:</w:t>
            </w:r>
          </w:p>
          <w:p w14:paraId="1FA45EB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>↔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  <w:p w14:paraId="7FD25E4E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Маравирок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4478CFA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маравирока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не требуется.</w:t>
            </w:r>
          </w:p>
        </w:tc>
      </w:tr>
      <w:tr w:rsidR="00F46283" w:rsidRPr="004557E8" w14:paraId="1EBCD389" w14:textId="77777777" w:rsidTr="0070101B">
        <w:tc>
          <w:tcPr>
            <w:tcW w:w="8953" w:type="dxa"/>
            <w:gridSpan w:val="3"/>
            <w:shd w:val="clear" w:color="auto" w:fill="auto"/>
          </w:tcPr>
          <w:p w14:paraId="70C3B32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val="kk-KZ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  <w:lang w:val="kk-KZ"/>
              </w:rPr>
              <w:t>Растительные добавки</w:t>
            </w:r>
          </w:p>
        </w:tc>
      </w:tr>
      <w:tr w:rsidR="00F46283" w:rsidRPr="004557E8" w14:paraId="12D1AB4A" w14:textId="77777777" w:rsidTr="0070101B">
        <w:tc>
          <w:tcPr>
            <w:tcW w:w="3003" w:type="dxa"/>
            <w:shd w:val="clear" w:color="auto" w:fill="auto"/>
          </w:tcPr>
          <w:p w14:paraId="4D0BE5B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Зверобой </w:t>
            </w:r>
          </w:p>
          <w:p w14:paraId="5C77969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proofErr w:type="spellStart"/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Hypericum</w:t>
            </w:r>
            <w:proofErr w:type="spellEnd"/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>perforatum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shd w:val="clear" w:color="auto" w:fill="auto"/>
          </w:tcPr>
          <w:p w14:paraId="72D9BA4E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Взаимодействие не изучено.</w:t>
            </w:r>
          </w:p>
          <w:p w14:paraId="25CD482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Ожидаемое:</w:t>
            </w:r>
          </w:p>
          <w:p w14:paraId="4F56104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000000" w:fill="auto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cs/>
              </w:rPr>
              <w:t>↓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14:paraId="33BA72C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Совместное применение не рекомендуется.</w:t>
            </w:r>
          </w:p>
        </w:tc>
      </w:tr>
      <w:tr w:rsidR="00F46283" w:rsidRPr="004557E8" w14:paraId="20432F7C" w14:textId="77777777" w:rsidTr="0070101B">
        <w:tc>
          <w:tcPr>
            <w:tcW w:w="8953" w:type="dxa"/>
            <w:gridSpan w:val="3"/>
            <w:shd w:val="clear" w:color="auto" w:fill="auto"/>
          </w:tcPr>
          <w:p w14:paraId="10A4E072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val="kk-KZ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  <w:lang w:val="kk-KZ"/>
              </w:rPr>
              <w:t>Оральные контрацептивы</w:t>
            </w:r>
          </w:p>
        </w:tc>
      </w:tr>
      <w:tr w:rsidR="00F46283" w:rsidRPr="004557E8" w14:paraId="4EB43109" w14:textId="77777777" w:rsidTr="0070101B">
        <w:tc>
          <w:tcPr>
            <w:tcW w:w="3003" w:type="dxa"/>
            <w:shd w:val="clear" w:color="auto" w:fill="auto"/>
          </w:tcPr>
          <w:p w14:paraId="4C81791E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Норгестимат</w:t>
            </w:r>
            <w:proofErr w:type="spellEnd"/>
          </w:p>
          <w:p w14:paraId="1E10624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(0.180 мг/0.215 мг/0.250 мг перорально, 1 раз в сутки)</w:t>
            </w:r>
          </w:p>
          <w:p w14:paraId="7596B9E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Этинилэстрадиол</w:t>
            </w:r>
          </w:p>
          <w:p w14:paraId="32667550" w14:textId="77777777" w:rsidR="00546519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(0.025 мг перорально, 1 раз в сутки)</w:t>
            </w:r>
          </w:p>
          <w:p w14:paraId="1FAF3FED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в</w:t>
            </w:r>
            <w:proofErr w:type="spellEnd"/>
          </w:p>
          <w:p w14:paraId="213433FA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(25 мг перорально, 1 раз в сутки)</w:t>
            </w:r>
          </w:p>
        </w:tc>
        <w:tc>
          <w:tcPr>
            <w:tcW w:w="2696" w:type="dxa"/>
            <w:shd w:val="clear" w:color="auto" w:fill="auto"/>
          </w:tcPr>
          <w:p w14:paraId="6ABABF3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Норгестромин</w:t>
            </w:r>
            <w:proofErr w:type="spellEnd"/>
          </w:p>
          <w:p w14:paraId="19472A3B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1.17 (1.07, 1.26)</w:t>
            </w:r>
          </w:p>
          <w:p w14:paraId="5A2BCD3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1.12 (1.07, 1.17)</w:t>
            </w:r>
          </w:p>
          <w:p w14:paraId="5D6C57CC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1.16 (1.08, 1.24)</w:t>
            </w:r>
          </w:p>
          <w:p w14:paraId="20711C61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Норгестрел</w:t>
            </w:r>
            <w:proofErr w:type="spellEnd"/>
          </w:p>
          <w:p w14:paraId="2E5A84F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1.10 (1.02, 1.18)</w:t>
            </w:r>
          </w:p>
          <w:p w14:paraId="61ABB565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1.09 (1.01, 1.18)</w:t>
            </w:r>
          </w:p>
          <w:p w14:paraId="135AD057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1.11 (1.03, 1.20)</w:t>
            </w:r>
          </w:p>
          <w:p w14:paraId="1DF75B9F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Этинилэстрадиол</w:t>
            </w:r>
          </w:p>
          <w:p w14:paraId="3582973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1.22 (1.15, 1.29)</w:t>
            </w:r>
          </w:p>
          <w:p w14:paraId="6DEFD226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AUC 1.11 (1.07, 1.16)</w:t>
            </w:r>
          </w:p>
          <w:p w14:paraId="245DEC59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cs/>
              </w:rPr>
              <w:t xml:space="preserve">↔ </w:t>
            </w:r>
            <w:proofErr w:type="spellStart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>C</w:t>
            </w:r>
            <w:r w:rsidRPr="004557E8">
              <w:rPr>
                <w:rFonts w:ascii="Times New Roman" w:eastAsia="SimSun" w:hAnsi="Times New Roman"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 w:rsidRPr="004557E8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 1.02 (0.93, 1.12)</w:t>
            </w:r>
          </w:p>
        </w:tc>
        <w:tc>
          <w:tcPr>
            <w:tcW w:w="3254" w:type="dxa"/>
            <w:shd w:val="clear" w:color="auto" w:fill="auto"/>
          </w:tcPr>
          <w:p w14:paraId="4240E594" w14:textId="77777777" w:rsidR="00F46283" w:rsidRPr="004557E8" w:rsidRDefault="00F46283" w:rsidP="003E017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Коррекция дозы препарата </w:t>
            </w:r>
            <w:proofErr w:type="spellStart"/>
            <w:r w:rsidR="000D1C27" w:rsidRPr="004557E8">
              <w:rPr>
                <w:rFonts w:ascii="Times New Roman" w:eastAsia="SimSun" w:hAnsi="Times New Roman"/>
                <w:sz w:val="24"/>
                <w:szCs w:val="24"/>
              </w:rPr>
              <w:t>Тафтеноф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или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норгестимата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r w:rsidR="00F24A7C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этинилэстрадиола не требуется.</w:t>
            </w:r>
          </w:p>
        </w:tc>
      </w:tr>
    </w:tbl>
    <w:p w14:paraId="71CA110A" w14:textId="77777777" w:rsidR="00F46283" w:rsidRPr="004557E8" w:rsidRDefault="00F46283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а.</w:t>
      </w:r>
      <w:r w:rsidRPr="004557E8">
        <w:rPr>
          <w:rFonts w:ascii="Times New Roman" w:hAnsi="Times New Roman"/>
          <w:sz w:val="20"/>
          <w:szCs w:val="20"/>
        </w:rPr>
        <w:t> Все исследования взаимодействий проведены у здоровых добровольцев.</w:t>
      </w:r>
    </w:p>
    <w:p w14:paraId="6FFCA69D" w14:textId="77777777" w:rsidR="00F46283" w:rsidRPr="004557E8" w:rsidRDefault="00F46283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б.</w:t>
      </w:r>
      <w:r w:rsidRPr="004557E8">
        <w:rPr>
          <w:rFonts w:ascii="Times New Roman" w:hAnsi="Times New Roman"/>
          <w:sz w:val="20"/>
          <w:szCs w:val="20"/>
        </w:rPr>
        <w:t xml:space="preserve"> Пограничные значения отсутствия эффективности: 70</w:t>
      </w:r>
      <w:r w:rsidRPr="004557E8">
        <w:rPr>
          <w:rFonts w:ascii="Times New Roman" w:hAnsi="Times New Roman"/>
          <w:sz w:val="20"/>
          <w:szCs w:val="20"/>
          <w:cs/>
        </w:rPr>
        <w:t>–</w:t>
      </w:r>
      <w:r w:rsidRPr="004557E8">
        <w:rPr>
          <w:rFonts w:ascii="Times New Roman" w:hAnsi="Times New Roman"/>
          <w:sz w:val="20"/>
          <w:szCs w:val="20"/>
        </w:rPr>
        <w:t xml:space="preserve">143 %. </w:t>
      </w:r>
    </w:p>
    <w:p w14:paraId="4A90CA26" w14:textId="77777777" w:rsidR="00F46283" w:rsidRPr="004557E8" w:rsidRDefault="00F46283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в.</w:t>
      </w:r>
      <w:r w:rsidRPr="004557E8">
        <w:rPr>
          <w:rFonts w:ascii="Times New Roman" w:hAnsi="Times New Roman"/>
          <w:sz w:val="20"/>
          <w:szCs w:val="20"/>
        </w:rPr>
        <w:t> Исследование проведено с доза</w:t>
      </w:r>
      <w:r w:rsidR="002B3E68" w:rsidRPr="004557E8">
        <w:rPr>
          <w:rFonts w:ascii="Times New Roman" w:hAnsi="Times New Roman"/>
          <w:sz w:val="20"/>
          <w:szCs w:val="20"/>
        </w:rPr>
        <w:t>-</w:t>
      </w:r>
      <w:r w:rsidRPr="004557E8">
        <w:rPr>
          <w:rFonts w:ascii="Times New Roman" w:hAnsi="Times New Roman"/>
          <w:sz w:val="20"/>
          <w:szCs w:val="20"/>
        </w:rPr>
        <w:t xml:space="preserve">фиксированными комбинациями таблеток </w:t>
      </w:r>
      <w:proofErr w:type="spellStart"/>
      <w:r w:rsidRPr="004557E8">
        <w:rPr>
          <w:rFonts w:ascii="Times New Roman" w:hAnsi="Times New Roman"/>
          <w:sz w:val="20"/>
          <w:szCs w:val="20"/>
        </w:rPr>
        <w:t>эмтрицитабина</w:t>
      </w:r>
      <w:proofErr w:type="spellEnd"/>
      <w:r w:rsidRPr="004557E8">
        <w:rPr>
          <w:rFonts w:ascii="Times New Roman" w:hAnsi="Times New Roman"/>
          <w:sz w:val="20"/>
          <w:szCs w:val="20"/>
        </w:rPr>
        <w:t>/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алафенамида</w:t>
      </w:r>
      <w:proofErr w:type="spellEnd"/>
      <w:r w:rsidRPr="004557E8">
        <w:rPr>
          <w:rFonts w:ascii="Times New Roman" w:hAnsi="Times New Roman"/>
          <w:sz w:val="20"/>
          <w:szCs w:val="20"/>
        </w:rPr>
        <w:t>.</w:t>
      </w:r>
    </w:p>
    <w:p w14:paraId="2FA7EA0C" w14:textId="77777777" w:rsidR="00F46283" w:rsidRPr="004557E8" w:rsidRDefault="00F46283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г.</w:t>
      </w:r>
      <w:r w:rsidRPr="004557E8">
        <w:rPr>
          <w:rFonts w:ascii="Times New Roman" w:hAnsi="Times New Roman"/>
          <w:sz w:val="20"/>
          <w:szCs w:val="20"/>
        </w:rPr>
        <w:t> Чувствительный к CYP3A4 субстрат.</w:t>
      </w:r>
    </w:p>
    <w:p w14:paraId="57CAAAD2" w14:textId="77777777" w:rsidR="00F46283" w:rsidRPr="004557E8" w:rsidRDefault="00F46283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д.</w:t>
      </w:r>
      <w:r w:rsidRPr="004557E8">
        <w:rPr>
          <w:rFonts w:ascii="Times New Roman" w:hAnsi="Times New Roman"/>
          <w:sz w:val="20"/>
          <w:szCs w:val="20"/>
        </w:rPr>
        <w:t xml:space="preserve"> Исследование проведено с доза-фиксированными комбинациями таблеток </w:t>
      </w:r>
      <w:proofErr w:type="spellStart"/>
      <w:r w:rsidRPr="004557E8">
        <w:rPr>
          <w:rFonts w:ascii="Times New Roman" w:hAnsi="Times New Roman"/>
          <w:sz w:val="20"/>
          <w:szCs w:val="20"/>
        </w:rPr>
        <w:t>элвитегравира</w:t>
      </w:r>
      <w:proofErr w:type="spellEnd"/>
      <w:r w:rsidRPr="004557E8">
        <w:rPr>
          <w:rFonts w:ascii="Times New Roman" w:hAnsi="Times New Roman"/>
          <w:sz w:val="20"/>
          <w:szCs w:val="20"/>
        </w:rPr>
        <w:t>/</w:t>
      </w:r>
      <w:proofErr w:type="spellStart"/>
      <w:r w:rsidRPr="004557E8">
        <w:rPr>
          <w:rFonts w:ascii="Times New Roman" w:hAnsi="Times New Roman"/>
          <w:sz w:val="20"/>
          <w:szCs w:val="20"/>
        </w:rPr>
        <w:t>кобицистата</w:t>
      </w:r>
      <w:proofErr w:type="spellEnd"/>
      <w:r w:rsidRPr="004557E8">
        <w:rPr>
          <w:rFonts w:ascii="Times New Roman" w:hAnsi="Times New Roman"/>
          <w:sz w:val="20"/>
          <w:szCs w:val="20"/>
        </w:rPr>
        <w:t>/</w:t>
      </w:r>
      <w:proofErr w:type="spellStart"/>
      <w:r w:rsidRPr="004557E8">
        <w:rPr>
          <w:rFonts w:ascii="Times New Roman" w:hAnsi="Times New Roman"/>
          <w:sz w:val="20"/>
          <w:szCs w:val="20"/>
        </w:rPr>
        <w:t>эмтрицитабина</w:t>
      </w:r>
      <w:proofErr w:type="spellEnd"/>
      <w:r w:rsidRPr="004557E8">
        <w:rPr>
          <w:rFonts w:ascii="Times New Roman" w:hAnsi="Times New Roman"/>
          <w:sz w:val="20"/>
          <w:szCs w:val="20"/>
        </w:rPr>
        <w:t>/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алафенамида</w:t>
      </w:r>
      <w:proofErr w:type="spellEnd"/>
      <w:r w:rsidRPr="004557E8">
        <w:rPr>
          <w:rFonts w:ascii="Times New Roman" w:hAnsi="Times New Roman"/>
          <w:sz w:val="20"/>
          <w:szCs w:val="20"/>
        </w:rPr>
        <w:t>.</w:t>
      </w:r>
    </w:p>
    <w:p w14:paraId="150819AD" w14:textId="77777777" w:rsidR="00F46283" w:rsidRPr="004557E8" w:rsidRDefault="00F46283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е.</w:t>
      </w:r>
      <w:r w:rsidRPr="004557E8">
        <w:rPr>
          <w:rFonts w:ascii="Times New Roman" w:hAnsi="Times New Roman"/>
          <w:sz w:val="20"/>
          <w:szCs w:val="20"/>
        </w:rPr>
        <w:t xml:space="preserve"> Исследование проведено с доза-фиксированными комбинациями таблеток </w:t>
      </w:r>
      <w:proofErr w:type="spellStart"/>
      <w:r w:rsidRPr="004557E8">
        <w:rPr>
          <w:rFonts w:ascii="Times New Roman" w:hAnsi="Times New Roman"/>
          <w:sz w:val="20"/>
          <w:szCs w:val="20"/>
        </w:rPr>
        <w:t>эмтрицитабина</w:t>
      </w:r>
      <w:proofErr w:type="spellEnd"/>
      <w:r w:rsidRPr="004557E8">
        <w:rPr>
          <w:rFonts w:ascii="Times New Roman" w:hAnsi="Times New Roman"/>
          <w:sz w:val="20"/>
          <w:szCs w:val="20"/>
        </w:rPr>
        <w:t>/</w:t>
      </w:r>
      <w:proofErr w:type="spellStart"/>
      <w:r w:rsidRPr="004557E8">
        <w:rPr>
          <w:rFonts w:ascii="Times New Roman" w:hAnsi="Times New Roman"/>
          <w:sz w:val="20"/>
          <w:szCs w:val="20"/>
        </w:rPr>
        <w:t>рилпивирина</w:t>
      </w:r>
      <w:proofErr w:type="spellEnd"/>
      <w:r w:rsidRPr="004557E8">
        <w:rPr>
          <w:rFonts w:ascii="Times New Roman" w:hAnsi="Times New Roman"/>
          <w:sz w:val="20"/>
          <w:szCs w:val="20"/>
        </w:rPr>
        <w:t>/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алафенамида</w:t>
      </w:r>
      <w:proofErr w:type="spellEnd"/>
      <w:r w:rsidRPr="004557E8">
        <w:rPr>
          <w:rFonts w:ascii="Times New Roman" w:hAnsi="Times New Roman"/>
          <w:sz w:val="20"/>
          <w:szCs w:val="20"/>
        </w:rPr>
        <w:t>.</w:t>
      </w:r>
    </w:p>
    <w:p w14:paraId="72CDBE16" w14:textId="77777777" w:rsidR="00F46283" w:rsidRPr="004557E8" w:rsidRDefault="00F46283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ж.</w:t>
      </w:r>
      <w:r w:rsidRPr="004557E8">
        <w:rPr>
          <w:rFonts w:ascii="Times New Roman" w:hAnsi="Times New Roman"/>
          <w:sz w:val="20"/>
          <w:szCs w:val="20"/>
        </w:rPr>
        <w:t xml:space="preserve"> Основной циркулирующий </w:t>
      </w:r>
      <w:proofErr w:type="spellStart"/>
      <w:r w:rsidRPr="004557E8">
        <w:rPr>
          <w:rFonts w:ascii="Times New Roman" w:hAnsi="Times New Roman"/>
          <w:sz w:val="20"/>
          <w:szCs w:val="20"/>
        </w:rPr>
        <w:t>нуклеозидный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метаболит </w:t>
      </w:r>
      <w:proofErr w:type="spellStart"/>
      <w:r w:rsidRPr="004557E8">
        <w:rPr>
          <w:rFonts w:ascii="Times New Roman" w:hAnsi="Times New Roman"/>
          <w:sz w:val="20"/>
          <w:szCs w:val="20"/>
        </w:rPr>
        <w:t>софосбувира</w:t>
      </w:r>
      <w:proofErr w:type="spellEnd"/>
      <w:r w:rsidRPr="004557E8">
        <w:rPr>
          <w:rFonts w:ascii="Times New Roman" w:hAnsi="Times New Roman"/>
          <w:sz w:val="20"/>
          <w:szCs w:val="20"/>
        </w:rPr>
        <w:t>.</w:t>
      </w:r>
    </w:p>
    <w:p w14:paraId="5A0253B1" w14:textId="77777777" w:rsidR="00F46283" w:rsidRPr="004557E8" w:rsidRDefault="00F46283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з.</w:t>
      </w:r>
      <w:r w:rsidRPr="004557E8">
        <w:rPr>
          <w:rFonts w:ascii="Times New Roman" w:hAnsi="Times New Roman"/>
          <w:sz w:val="20"/>
          <w:szCs w:val="20"/>
        </w:rPr>
        <w:t xml:space="preserve"> Исследование проведено с применением 40 мг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и 200 мг </w:t>
      </w:r>
      <w:proofErr w:type="spellStart"/>
      <w:r w:rsidRPr="004557E8">
        <w:rPr>
          <w:rFonts w:ascii="Times New Roman" w:hAnsi="Times New Roman"/>
          <w:sz w:val="20"/>
          <w:szCs w:val="20"/>
        </w:rPr>
        <w:t>эмтрицитабина</w:t>
      </w:r>
      <w:proofErr w:type="spellEnd"/>
      <w:r w:rsidRPr="004557E8">
        <w:rPr>
          <w:rFonts w:ascii="Times New Roman" w:hAnsi="Times New Roman"/>
          <w:sz w:val="20"/>
          <w:szCs w:val="20"/>
        </w:rPr>
        <w:t>.</w:t>
      </w:r>
    </w:p>
    <w:p w14:paraId="26519754" w14:textId="77777777" w:rsidR="007E12A0" w:rsidRPr="004557E8" w:rsidRDefault="007E12A0" w:rsidP="003E017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  <w:shd w:val="clear" w:color="000000" w:fill="auto"/>
        </w:rPr>
      </w:pPr>
      <w:r w:rsidRPr="004557E8">
        <w:rPr>
          <w:rFonts w:ascii="Times New Roman" w:hAnsi="Times New Roman"/>
          <w:sz w:val="20"/>
          <w:szCs w:val="20"/>
          <w:shd w:val="clear" w:color="000000" w:fill="auto"/>
          <w:vertAlign w:val="superscript"/>
        </w:rPr>
        <w:t>и.</w:t>
      </w:r>
      <w:r w:rsidRPr="004557E8">
        <w:rPr>
          <w:rFonts w:ascii="Times New Roman" w:hAnsi="Times New Roman"/>
          <w:sz w:val="20"/>
          <w:szCs w:val="20"/>
          <w:shd w:val="clear" w:color="000000" w:fill="auto"/>
        </w:rPr>
        <w:t xml:space="preserve"> Исследование, проведенное с дополнительным количеством </w:t>
      </w:r>
      <w:proofErr w:type="spellStart"/>
      <w:r w:rsidRPr="004557E8">
        <w:rPr>
          <w:rFonts w:ascii="Times New Roman" w:hAnsi="Times New Roman"/>
          <w:sz w:val="20"/>
          <w:szCs w:val="20"/>
          <w:shd w:val="clear" w:color="000000" w:fill="auto"/>
        </w:rPr>
        <w:t>воксилапревира</w:t>
      </w:r>
      <w:proofErr w:type="spellEnd"/>
      <w:r w:rsidRPr="004557E8">
        <w:rPr>
          <w:rFonts w:ascii="Times New Roman" w:hAnsi="Times New Roman"/>
          <w:sz w:val="20"/>
          <w:szCs w:val="20"/>
          <w:shd w:val="clear" w:color="000000" w:fill="auto"/>
        </w:rPr>
        <w:t xml:space="preserve"> в дозе 100 мг для достижения ожидаемых воздействий </w:t>
      </w:r>
      <w:proofErr w:type="spellStart"/>
      <w:r w:rsidRPr="004557E8">
        <w:rPr>
          <w:rFonts w:ascii="Times New Roman" w:hAnsi="Times New Roman"/>
          <w:sz w:val="20"/>
          <w:szCs w:val="20"/>
          <w:shd w:val="clear" w:color="000000" w:fill="auto"/>
        </w:rPr>
        <w:t>воксилапревира</w:t>
      </w:r>
      <w:proofErr w:type="spellEnd"/>
      <w:r w:rsidRPr="004557E8">
        <w:rPr>
          <w:rFonts w:ascii="Times New Roman" w:hAnsi="Times New Roman"/>
          <w:sz w:val="20"/>
          <w:szCs w:val="20"/>
          <w:shd w:val="clear" w:color="000000" w:fill="auto"/>
        </w:rPr>
        <w:t xml:space="preserve"> у пациентов, инфицированных вирусом гепатите С.</w:t>
      </w:r>
    </w:p>
    <w:p w14:paraId="232725D1" w14:textId="77777777" w:rsidR="00CE7F7F" w:rsidRPr="004557E8" w:rsidRDefault="00CE7F7F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E29486" w14:textId="77777777" w:rsidR="00B05BD1" w:rsidRPr="004557E8" w:rsidRDefault="00B05BD1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</w:t>
      </w:r>
    </w:p>
    <w:p w14:paraId="2268AB1A" w14:textId="77777777" w:rsidR="00B05BD1" w:rsidRPr="004557E8" w:rsidRDefault="00B05BD1" w:rsidP="003E017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557E8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2478D6CB" w14:textId="77777777" w:rsidR="00F15C5F" w:rsidRPr="004557E8" w:rsidRDefault="00F15C5F" w:rsidP="00F15C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57E8">
        <w:rPr>
          <w:rFonts w:ascii="Times New Roman" w:hAnsi="Times New Roman"/>
          <w:color w:val="000000"/>
          <w:sz w:val="24"/>
          <w:szCs w:val="24"/>
        </w:rPr>
        <w:t xml:space="preserve">Ограниченный объем данных о беременных женщинах, подвергшихся воздействию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(от 300 до 1000 исходов беременности), указывает на отсутствие пороков развития или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фето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>/неонатальной токсичности.</w:t>
      </w:r>
    </w:p>
    <w:p w14:paraId="4AD4F520" w14:textId="77777777" w:rsidR="00F15C5F" w:rsidRPr="004557E8" w:rsidRDefault="00F15C5F" w:rsidP="00F15C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57E8">
        <w:rPr>
          <w:rFonts w:ascii="Times New Roman" w:hAnsi="Times New Roman"/>
          <w:color w:val="000000"/>
          <w:sz w:val="24"/>
          <w:szCs w:val="24"/>
        </w:rPr>
        <w:t>Исследования на животных не выявили прямого или косвенного пагубного воздействия на репродуктивную токсичность (см. раздел 5.3).</w:t>
      </w:r>
    </w:p>
    <w:p w14:paraId="66CC9C1F" w14:textId="77777777" w:rsidR="00F15C5F" w:rsidRPr="004557E8" w:rsidRDefault="00F15C5F" w:rsidP="00F15C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57E8">
        <w:rPr>
          <w:rFonts w:ascii="Times New Roman" w:hAnsi="Times New Roman"/>
          <w:color w:val="000000"/>
          <w:sz w:val="24"/>
          <w:szCs w:val="24"/>
        </w:rPr>
        <w:t xml:space="preserve">При необходимости можно рассмотреть возможность применения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во время беременности.</w:t>
      </w:r>
    </w:p>
    <w:p w14:paraId="528E46C0" w14:textId="77777777" w:rsidR="00B05BD1" w:rsidRPr="004557E8" w:rsidRDefault="00B05BD1" w:rsidP="00F15C5F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557E8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373D0666" w14:textId="77777777" w:rsidR="00CA226D" w:rsidRPr="004557E8" w:rsidRDefault="00CA226D" w:rsidP="003E01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57E8">
        <w:rPr>
          <w:rFonts w:ascii="Times New Roman" w:hAnsi="Times New Roman"/>
          <w:color w:val="000000"/>
          <w:sz w:val="24"/>
          <w:szCs w:val="24"/>
        </w:rPr>
        <w:t xml:space="preserve">Согласно опубликованным данным,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в небольших количествах выделяются с грудным молоком у женщин, получающих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. Информации о влиянии </w:t>
      </w:r>
      <w:proofErr w:type="spellStart"/>
      <w:r w:rsidRPr="004557E8">
        <w:rPr>
          <w:rFonts w:ascii="Times New Roman" w:hAnsi="Times New Roman"/>
          <w:color w:val="000000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на новорожденных/младенцев недостаточно.</w:t>
      </w:r>
    </w:p>
    <w:p w14:paraId="3B2B37F1" w14:textId="77777777" w:rsidR="00BD357B" w:rsidRPr="004557E8" w:rsidRDefault="00BD357B" w:rsidP="003E01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57E8">
        <w:rPr>
          <w:rFonts w:ascii="Times New Roman" w:hAnsi="Times New Roman"/>
          <w:color w:val="000000"/>
          <w:sz w:val="24"/>
          <w:szCs w:val="24"/>
        </w:rPr>
        <w:t xml:space="preserve">Невозможно исключить риск для ребенка, получающего грудное вскармливание, поэтому препарат </w:t>
      </w:r>
      <w:proofErr w:type="spellStart"/>
      <w:r w:rsidR="000D1C27" w:rsidRPr="004557E8">
        <w:rPr>
          <w:rFonts w:ascii="Times New Roman" w:hAnsi="Times New Roman"/>
          <w:color w:val="000000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не следует применять во время кормления грудью.</w:t>
      </w:r>
    </w:p>
    <w:p w14:paraId="040DFDEF" w14:textId="77777777" w:rsidR="00B05BD1" w:rsidRPr="004557E8" w:rsidRDefault="00B05BD1" w:rsidP="003E017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557E8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27D36416" w14:textId="77777777" w:rsidR="00BD357B" w:rsidRPr="004557E8" w:rsidRDefault="00BD357B" w:rsidP="003E01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57E8">
        <w:rPr>
          <w:rFonts w:ascii="Times New Roman" w:hAnsi="Times New Roman"/>
          <w:color w:val="000000"/>
          <w:sz w:val="24"/>
          <w:szCs w:val="24"/>
        </w:rPr>
        <w:t xml:space="preserve">Данные о влиянии препарата </w:t>
      </w:r>
      <w:proofErr w:type="spellStart"/>
      <w:r w:rsidR="000D1C27" w:rsidRPr="004557E8">
        <w:rPr>
          <w:rFonts w:ascii="Times New Roman" w:hAnsi="Times New Roman"/>
          <w:color w:val="000000"/>
          <w:sz w:val="24"/>
          <w:szCs w:val="24"/>
        </w:rPr>
        <w:t>Тафтеноф</w:t>
      </w:r>
      <w:proofErr w:type="spellEnd"/>
      <w:r w:rsidRPr="004557E8">
        <w:rPr>
          <w:rFonts w:ascii="Times New Roman" w:hAnsi="Times New Roman"/>
          <w:color w:val="000000"/>
          <w:sz w:val="24"/>
          <w:szCs w:val="24"/>
        </w:rPr>
        <w:t xml:space="preserve"> на фертильность у человека отсутствуют.</w:t>
      </w:r>
      <w:r w:rsidR="00E93CB9" w:rsidRPr="004557E8">
        <w:rPr>
          <w:rFonts w:ascii="Times New Roman" w:hAnsi="Times New Roman"/>
          <w:color w:val="000000"/>
          <w:sz w:val="24"/>
          <w:szCs w:val="24"/>
        </w:rPr>
        <w:t xml:space="preserve"> Исследования на животных не указывают на вредное влияние </w:t>
      </w:r>
      <w:proofErr w:type="spellStart"/>
      <w:r w:rsidR="00E93CB9" w:rsidRPr="004557E8">
        <w:rPr>
          <w:rFonts w:ascii="Times New Roman" w:hAnsi="Times New Roman"/>
          <w:color w:val="000000"/>
          <w:sz w:val="24"/>
          <w:szCs w:val="24"/>
        </w:rPr>
        <w:t>тенофовира</w:t>
      </w:r>
      <w:proofErr w:type="spellEnd"/>
      <w:r w:rsidR="00E93CB9" w:rsidRPr="004557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93CB9" w:rsidRPr="004557E8">
        <w:rPr>
          <w:rFonts w:ascii="Times New Roman" w:hAnsi="Times New Roman"/>
          <w:color w:val="000000"/>
          <w:sz w:val="24"/>
          <w:szCs w:val="24"/>
        </w:rPr>
        <w:t>алафенамида</w:t>
      </w:r>
      <w:proofErr w:type="spellEnd"/>
      <w:r w:rsidR="00E93CB9" w:rsidRPr="004557E8">
        <w:rPr>
          <w:rFonts w:ascii="Times New Roman" w:hAnsi="Times New Roman"/>
          <w:color w:val="000000"/>
          <w:sz w:val="24"/>
          <w:szCs w:val="24"/>
        </w:rPr>
        <w:t xml:space="preserve"> на фертильность.</w:t>
      </w:r>
    </w:p>
    <w:p w14:paraId="73B3648C" w14:textId="77777777" w:rsidR="0078568D" w:rsidRPr="004557E8" w:rsidRDefault="0078568D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2556C8" w14:textId="77777777" w:rsidR="00CE7F7F" w:rsidRPr="004557E8" w:rsidRDefault="00DB406A" w:rsidP="003E017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</w:t>
      </w:r>
      <w:r w:rsidR="00B05BD1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4557E8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8" w:name="2175220282"/>
    </w:p>
    <w:p w14:paraId="677EFD50" w14:textId="77777777" w:rsidR="006964E8" w:rsidRPr="004557E8" w:rsidRDefault="006964E8" w:rsidP="003E01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>Тафтеноф</w:t>
      </w:r>
      <w:proofErr w:type="spellEnd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крайне ограниченное влияние на способность управлять автомобилем и работу с механизмами. Пациенты должны быть проинформированы о том, что головокружение является побочным эффектом в случае лечения с использованием </w:t>
      </w:r>
      <w:proofErr w:type="spellStart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>Тафтенофа</w:t>
      </w:r>
      <w:proofErr w:type="spellEnd"/>
      <w:r w:rsidRPr="004557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C8CAEB" w14:textId="77777777" w:rsidR="000633A9" w:rsidRPr="004557E8" w:rsidRDefault="000633A9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1D5F94" w14:textId="77777777" w:rsidR="009D67EC" w:rsidRPr="004557E8" w:rsidRDefault="009D67EC" w:rsidP="003E01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8"/>
    </w:p>
    <w:p w14:paraId="60E8922C" w14:textId="77777777" w:rsidR="007761D4" w:rsidRPr="004557E8" w:rsidRDefault="007761D4" w:rsidP="003E017A">
      <w:pPr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9" w:name="_Hlk63851052"/>
      <w:r w:rsidRPr="004557E8">
        <w:rPr>
          <w:rFonts w:ascii="Times New Roman" w:hAnsi="Times New Roman"/>
          <w:i/>
          <w:iCs/>
          <w:sz w:val="24"/>
          <w:szCs w:val="24"/>
        </w:rPr>
        <w:t>Резюме профиля безопасности</w:t>
      </w:r>
    </w:p>
    <w:p w14:paraId="553C80EB" w14:textId="77777777" w:rsidR="00F15C5F" w:rsidRPr="004557E8" w:rsidRDefault="00F15C5F" w:rsidP="003E017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Оценка побочных реакций основана на данных клинических исследований и </w:t>
      </w:r>
      <w:proofErr w:type="spellStart"/>
      <w:r w:rsidRPr="004557E8">
        <w:rPr>
          <w:rFonts w:ascii="Times New Roman" w:hAnsi="Times New Roman"/>
          <w:sz w:val="24"/>
          <w:szCs w:val="24"/>
        </w:rPr>
        <w:t>постмаркетинговых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данных. В объединенных данных по безопасности из 2 контролируемых исследований фазы 3 (GS-US-320-0108 и GS-US-320-0110; «Исследование 108» и «Исследование 110» соответственно) наиболее часто сообщаемые побочные реакции при анализе на неделе 96 были головная боль (12%), тошнота (6%) и утомляемость (6%). После 96-й недели пациенты либо продолжали исходную слепую терапию до 144-й недели, либо получали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открытом режиме.</w:t>
      </w:r>
    </w:p>
    <w:p w14:paraId="0D2A9689" w14:textId="77777777" w:rsidR="00F15C5F" w:rsidRPr="004557E8" w:rsidRDefault="00F15C5F" w:rsidP="003E017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Профиль безопасности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был сходным у пациентов с вирусологической супрессией, перешедших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исследовании 108, исследовании 110 и контролируемом исследовании GS-US-320-4018 фазы 3 («Исследование 4018»). В этих исследованиях после перехода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наблюдались изменения лабораторных показателей липидов (см. раздел 5.1).</w:t>
      </w:r>
    </w:p>
    <w:p w14:paraId="35DDAD1C" w14:textId="77777777" w:rsidR="007761D4" w:rsidRPr="004557E8" w:rsidRDefault="00C05209" w:rsidP="003E017A">
      <w:pPr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557E8">
        <w:rPr>
          <w:rFonts w:ascii="Times New Roman" w:hAnsi="Times New Roman"/>
          <w:i/>
          <w:iCs/>
          <w:color w:val="000000" w:themeColor="text1"/>
          <w:sz w:val="24"/>
          <w:szCs w:val="24"/>
        </w:rPr>
        <w:t>Сводная таблица побочных реакций</w:t>
      </w:r>
    </w:p>
    <w:p w14:paraId="1446CC83" w14:textId="77777777" w:rsidR="00546519" w:rsidRPr="004557E8" w:rsidRDefault="007761D4" w:rsidP="003E017A">
      <w:pPr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У пациентов с хроническим гепатитом В были зарегистрированы нежелательные </w:t>
      </w:r>
      <w:r w:rsidR="00E54436" w:rsidRPr="004557E8">
        <w:rPr>
          <w:rFonts w:ascii="Times New Roman" w:hAnsi="Times New Roman"/>
          <w:color w:val="000000" w:themeColor="text1"/>
          <w:sz w:val="24"/>
          <w:szCs w:val="24"/>
        </w:rPr>
        <w:t>реакции</w:t>
      </w:r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proofErr w:type="spellStart"/>
      <w:r w:rsidRPr="004557E8">
        <w:rPr>
          <w:rFonts w:ascii="Times New Roman" w:hAnsi="Times New Roman"/>
          <w:color w:val="000000" w:themeColor="text1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color w:val="000000" w:themeColor="text1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color w:val="000000" w:themeColor="text1"/>
          <w:sz w:val="24"/>
          <w:szCs w:val="24"/>
        </w:rPr>
        <w:t>, указанные в таблице </w:t>
      </w:r>
      <w:r w:rsidR="001E429D" w:rsidRPr="004557E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. Нежелательные </w:t>
      </w:r>
      <w:r w:rsidR="00E54436" w:rsidRPr="004557E8">
        <w:rPr>
          <w:rFonts w:ascii="Times New Roman" w:hAnsi="Times New Roman"/>
          <w:color w:val="000000" w:themeColor="text1"/>
          <w:sz w:val="24"/>
          <w:szCs w:val="24"/>
        </w:rPr>
        <w:t>реакции</w:t>
      </w:r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 перечислены ниже в соответствии с классами систем органов и частотой. Частота </w:t>
      </w:r>
      <w:r w:rsidR="00E54436" w:rsidRPr="004557E8">
        <w:rPr>
          <w:rFonts w:ascii="Times New Roman" w:hAnsi="Times New Roman"/>
          <w:color w:val="000000" w:themeColor="text1"/>
          <w:sz w:val="24"/>
          <w:szCs w:val="24"/>
        </w:rPr>
        <w:t>нежелательных реакций</w:t>
      </w:r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определена следующим образом: очень часто (</w:t>
      </w:r>
      <w:r w:rsidRPr="004557E8">
        <w:rPr>
          <w:rFonts w:ascii="Times New Roman" w:hAnsi="Times New Roman"/>
          <w:color w:val="000000" w:themeColor="text1"/>
          <w:sz w:val="24"/>
          <w:szCs w:val="24"/>
          <w:cs/>
        </w:rPr>
        <w:t>≥</w:t>
      </w:r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1/10), часто (от </w:t>
      </w:r>
      <w:r w:rsidRPr="004557E8">
        <w:rPr>
          <w:rFonts w:ascii="Times New Roman" w:hAnsi="Times New Roman"/>
          <w:color w:val="000000" w:themeColor="text1"/>
          <w:sz w:val="24"/>
          <w:szCs w:val="24"/>
          <w:cs/>
        </w:rPr>
        <w:t>≥</w:t>
      </w:r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1/100 до &lt;1/10), нечасто (от </w:t>
      </w:r>
      <w:r w:rsidRPr="004557E8">
        <w:rPr>
          <w:rFonts w:ascii="Times New Roman" w:hAnsi="Times New Roman"/>
          <w:color w:val="000000" w:themeColor="text1"/>
          <w:sz w:val="24"/>
          <w:szCs w:val="24"/>
          <w:cs/>
        </w:rPr>
        <w:t>≥</w:t>
      </w:r>
      <w:r w:rsidRPr="004557E8">
        <w:rPr>
          <w:rFonts w:ascii="Times New Roman" w:hAnsi="Times New Roman"/>
          <w:color w:val="000000" w:themeColor="text1"/>
          <w:sz w:val="24"/>
          <w:szCs w:val="24"/>
        </w:rPr>
        <w:t xml:space="preserve">1/1000 до &lt;1/100), редко (от </w:t>
      </w:r>
      <w:r w:rsidRPr="004557E8">
        <w:rPr>
          <w:rFonts w:ascii="Times New Roman" w:hAnsi="Times New Roman"/>
          <w:color w:val="000000" w:themeColor="text1"/>
          <w:sz w:val="24"/>
          <w:szCs w:val="24"/>
          <w:cs/>
        </w:rPr>
        <w:t>≥</w:t>
      </w:r>
      <w:r w:rsidRPr="004557E8">
        <w:rPr>
          <w:rFonts w:ascii="Times New Roman" w:hAnsi="Times New Roman"/>
          <w:color w:val="000000" w:themeColor="text1"/>
          <w:sz w:val="24"/>
          <w:szCs w:val="24"/>
        </w:rPr>
        <w:t>1/10000 до &lt;1/1000) или очень редко (&lt;1/10000).</w:t>
      </w:r>
      <w:bookmarkStart w:id="10" w:name="_Ref351912601"/>
    </w:p>
    <w:p w14:paraId="7B20800C" w14:textId="77777777" w:rsidR="001E429D" w:rsidRPr="004557E8" w:rsidRDefault="007761D4" w:rsidP="003E017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bCs/>
          <w:sz w:val="24"/>
          <w:szCs w:val="24"/>
        </w:rPr>
        <w:t>Таблица </w:t>
      </w:r>
      <w:r w:rsidR="001E429D" w:rsidRPr="004557E8">
        <w:rPr>
          <w:rFonts w:ascii="Times New Roman" w:hAnsi="Times New Roman"/>
          <w:bCs/>
          <w:sz w:val="24"/>
          <w:szCs w:val="24"/>
        </w:rPr>
        <w:t>2</w:t>
      </w:r>
      <w:r w:rsidRPr="004557E8">
        <w:rPr>
          <w:rFonts w:ascii="Times New Roman" w:hAnsi="Times New Roman"/>
          <w:bCs/>
          <w:sz w:val="24"/>
          <w:szCs w:val="24"/>
        </w:rPr>
        <w:t>.</w:t>
      </w:r>
      <w:bookmarkEnd w:id="10"/>
      <w:r w:rsidR="00E247E0" w:rsidRPr="004557E8">
        <w:rPr>
          <w:rFonts w:ascii="Times New Roman" w:hAnsi="Times New Roman"/>
          <w:bCs/>
          <w:sz w:val="24"/>
          <w:szCs w:val="24"/>
        </w:rPr>
        <w:t xml:space="preserve"> </w:t>
      </w:r>
      <w:r w:rsidR="00C05209" w:rsidRPr="004557E8">
        <w:rPr>
          <w:rFonts w:ascii="Times New Roman" w:hAnsi="Times New Roman"/>
          <w:bCs/>
          <w:sz w:val="24"/>
          <w:szCs w:val="24"/>
        </w:rPr>
        <w:t xml:space="preserve">Нежелательные реакции, выявленные при использовании </w:t>
      </w:r>
      <w:proofErr w:type="spellStart"/>
      <w:r w:rsidR="00C05209" w:rsidRPr="004557E8">
        <w:rPr>
          <w:rFonts w:ascii="Times New Roman" w:hAnsi="Times New Roman"/>
          <w:bCs/>
          <w:sz w:val="24"/>
          <w:szCs w:val="24"/>
        </w:rPr>
        <w:t>тенофовира</w:t>
      </w:r>
      <w:proofErr w:type="spellEnd"/>
      <w:r w:rsidR="00C05209" w:rsidRPr="004557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05209" w:rsidRPr="004557E8">
        <w:rPr>
          <w:rFonts w:ascii="Times New Roman" w:hAnsi="Times New Roman"/>
          <w:bCs/>
          <w:sz w:val="24"/>
          <w:szCs w:val="24"/>
        </w:rPr>
        <w:t>алафенамида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435800" w:rsidRPr="004557E8" w14:paraId="4D789A81" w14:textId="77777777" w:rsidTr="00177F5A">
        <w:trPr>
          <w:cantSplit/>
          <w:tblHeader/>
        </w:trPr>
        <w:tc>
          <w:tcPr>
            <w:tcW w:w="9072" w:type="dxa"/>
            <w:gridSpan w:val="2"/>
            <w:vAlign w:val="center"/>
          </w:tcPr>
          <w:p w14:paraId="28DD50FC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7E8">
              <w:rPr>
                <w:rFonts w:ascii="Times New Roman" w:hAnsi="Times New Roman"/>
                <w:b/>
                <w:sz w:val="24"/>
                <w:szCs w:val="24"/>
              </w:rPr>
              <w:t xml:space="preserve">Классы систем органов </w:t>
            </w:r>
          </w:p>
        </w:tc>
      </w:tr>
      <w:tr w:rsidR="00435800" w:rsidRPr="004557E8" w14:paraId="6E78036F" w14:textId="77777777" w:rsidTr="00177F5A">
        <w:trPr>
          <w:cantSplit/>
          <w:tblHeader/>
        </w:trPr>
        <w:tc>
          <w:tcPr>
            <w:tcW w:w="1560" w:type="dxa"/>
            <w:vAlign w:val="center"/>
          </w:tcPr>
          <w:p w14:paraId="26CC213B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7E8">
              <w:rPr>
                <w:rFonts w:ascii="Times New Roman" w:hAnsi="Times New Roman"/>
                <w:b/>
                <w:sz w:val="24"/>
                <w:szCs w:val="24"/>
              </w:rPr>
              <w:t>Частота</w:t>
            </w:r>
          </w:p>
        </w:tc>
        <w:tc>
          <w:tcPr>
            <w:tcW w:w="7512" w:type="dxa"/>
            <w:vAlign w:val="center"/>
          </w:tcPr>
          <w:p w14:paraId="00238A29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7E8">
              <w:rPr>
                <w:rFonts w:ascii="Times New Roman" w:hAnsi="Times New Roman"/>
                <w:b/>
                <w:sz w:val="24"/>
                <w:szCs w:val="24"/>
              </w:rPr>
              <w:t xml:space="preserve">Нежелательные реакции </w:t>
            </w:r>
          </w:p>
        </w:tc>
      </w:tr>
      <w:tr w:rsidR="00C05209" w:rsidRPr="004557E8" w14:paraId="6D095FB1" w14:textId="77777777" w:rsidTr="00816E3C">
        <w:trPr>
          <w:cantSplit/>
          <w:tblHeader/>
        </w:trPr>
        <w:tc>
          <w:tcPr>
            <w:tcW w:w="9072" w:type="dxa"/>
            <w:gridSpan w:val="2"/>
            <w:vAlign w:val="center"/>
          </w:tcPr>
          <w:p w14:paraId="0D28B08A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hAnsi="Times New Roman"/>
                <w:i/>
                <w:sz w:val="24"/>
                <w:szCs w:val="24"/>
              </w:rPr>
              <w:t>Нарушения со стороны нервной системы</w:t>
            </w:r>
          </w:p>
        </w:tc>
      </w:tr>
      <w:tr w:rsidR="00C05209" w:rsidRPr="004557E8" w14:paraId="3EC25982" w14:textId="77777777" w:rsidTr="00816E3C">
        <w:tc>
          <w:tcPr>
            <w:tcW w:w="1560" w:type="dxa"/>
            <w:vAlign w:val="center"/>
          </w:tcPr>
          <w:p w14:paraId="1BA90708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7512" w:type="dxa"/>
            <w:vAlign w:val="center"/>
          </w:tcPr>
          <w:p w14:paraId="3E7F8FF4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Головная боль</w:t>
            </w:r>
          </w:p>
        </w:tc>
      </w:tr>
      <w:tr w:rsidR="00C05209" w:rsidRPr="004557E8" w14:paraId="0A958C42" w14:textId="77777777" w:rsidTr="00816E3C">
        <w:tc>
          <w:tcPr>
            <w:tcW w:w="1560" w:type="dxa"/>
            <w:vAlign w:val="center"/>
          </w:tcPr>
          <w:p w14:paraId="40F0B036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7512" w:type="dxa"/>
            <w:vAlign w:val="center"/>
          </w:tcPr>
          <w:p w14:paraId="6CA4D53E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Головокружение</w:t>
            </w:r>
          </w:p>
        </w:tc>
      </w:tr>
      <w:tr w:rsidR="00435800" w:rsidRPr="004557E8" w14:paraId="7B63D9B4" w14:textId="77777777" w:rsidTr="00177F5A">
        <w:trPr>
          <w:cantSplit/>
          <w:tblHeader/>
        </w:trPr>
        <w:tc>
          <w:tcPr>
            <w:tcW w:w="9072" w:type="dxa"/>
            <w:gridSpan w:val="2"/>
            <w:vAlign w:val="center"/>
          </w:tcPr>
          <w:p w14:paraId="263286A3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hAnsi="Times New Roman"/>
                <w:i/>
                <w:sz w:val="24"/>
                <w:szCs w:val="24"/>
              </w:rPr>
              <w:t>Нарушения со стороны желудочно-кишечного тракта</w:t>
            </w:r>
          </w:p>
        </w:tc>
      </w:tr>
      <w:tr w:rsidR="00435800" w:rsidRPr="004557E8" w14:paraId="45527ABC" w14:textId="77777777" w:rsidTr="00177F5A">
        <w:tc>
          <w:tcPr>
            <w:tcW w:w="1560" w:type="dxa"/>
            <w:vAlign w:val="center"/>
          </w:tcPr>
          <w:p w14:paraId="40A3BAF6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7512" w:type="dxa"/>
            <w:vAlign w:val="center"/>
          </w:tcPr>
          <w:p w14:paraId="644850D9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Диарея, рвота, тошнота, боль в животе, вздутие живота, метеоризм</w:t>
            </w:r>
          </w:p>
        </w:tc>
      </w:tr>
      <w:tr w:rsidR="00C05209" w:rsidRPr="004557E8" w14:paraId="67DF0651" w14:textId="77777777" w:rsidTr="00816E3C">
        <w:trPr>
          <w:cantSplit/>
          <w:tblHeader/>
        </w:trPr>
        <w:tc>
          <w:tcPr>
            <w:tcW w:w="9072" w:type="dxa"/>
            <w:gridSpan w:val="2"/>
            <w:vAlign w:val="center"/>
          </w:tcPr>
          <w:p w14:paraId="083B5957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hAnsi="Times New Roman"/>
                <w:i/>
                <w:sz w:val="24"/>
                <w:szCs w:val="24"/>
              </w:rPr>
              <w:t>Нарушения со стороны печени и желчевыводящих путей</w:t>
            </w:r>
          </w:p>
        </w:tc>
      </w:tr>
      <w:tr w:rsidR="00C05209" w:rsidRPr="004557E8" w14:paraId="012ACE2E" w14:textId="77777777" w:rsidTr="00816E3C">
        <w:tc>
          <w:tcPr>
            <w:tcW w:w="1560" w:type="dxa"/>
            <w:vAlign w:val="center"/>
          </w:tcPr>
          <w:p w14:paraId="7202359A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7512" w:type="dxa"/>
            <w:vAlign w:val="center"/>
          </w:tcPr>
          <w:p w14:paraId="59CF4F87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Повышение АЛТ</w:t>
            </w:r>
          </w:p>
        </w:tc>
      </w:tr>
      <w:tr w:rsidR="00C05209" w:rsidRPr="004557E8" w14:paraId="10B61624" w14:textId="77777777" w:rsidTr="00816E3C">
        <w:trPr>
          <w:cantSplit/>
          <w:tblHeader/>
        </w:trPr>
        <w:tc>
          <w:tcPr>
            <w:tcW w:w="9072" w:type="dxa"/>
            <w:gridSpan w:val="2"/>
            <w:vAlign w:val="center"/>
          </w:tcPr>
          <w:p w14:paraId="62346FE9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hAnsi="Times New Roman"/>
                <w:i/>
                <w:sz w:val="24"/>
                <w:szCs w:val="24"/>
              </w:rPr>
              <w:t>Нарушения со стороны кожи и подкожных тканей</w:t>
            </w:r>
          </w:p>
        </w:tc>
      </w:tr>
      <w:tr w:rsidR="00C05209" w:rsidRPr="004557E8" w14:paraId="440036A5" w14:textId="77777777" w:rsidTr="00816E3C">
        <w:tc>
          <w:tcPr>
            <w:tcW w:w="1560" w:type="dxa"/>
            <w:vAlign w:val="center"/>
          </w:tcPr>
          <w:p w14:paraId="347C0F83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7512" w:type="dxa"/>
            <w:vAlign w:val="center"/>
          </w:tcPr>
          <w:p w14:paraId="166BE36B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Сыпь, зуд</w:t>
            </w:r>
          </w:p>
        </w:tc>
      </w:tr>
      <w:tr w:rsidR="00C05209" w:rsidRPr="004557E8" w14:paraId="61C48D42" w14:textId="77777777" w:rsidTr="00816E3C">
        <w:tc>
          <w:tcPr>
            <w:tcW w:w="1560" w:type="dxa"/>
            <w:vAlign w:val="center"/>
          </w:tcPr>
          <w:p w14:paraId="573D2950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7512" w:type="dxa"/>
            <w:vAlign w:val="center"/>
          </w:tcPr>
          <w:p w14:paraId="6066C5F1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_Hlk145405515"/>
            <w:r w:rsidRPr="004557E8">
              <w:rPr>
                <w:rFonts w:ascii="Times New Roman" w:hAnsi="Times New Roman"/>
                <w:sz w:val="24"/>
                <w:szCs w:val="24"/>
              </w:rPr>
              <w:t>Ангионевротический отек</w:t>
            </w:r>
            <w:r w:rsidRPr="004557E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557E8">
              <w:rPr>
                <w:rFonts w:ascii="Times New Roman" w:hAnsi="Times New Roman"/>
                <w:sz w:val="24"/>
                <w:szCs w:val="24"/>
              </w:rPr>
              <w:t>, крапивница</w:t>
            </w:r>
            <w:r w:rsidRPr="004557E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bookmarkEnd w:id="11"/>
          </w:p>
        </w:tc>
      </w:tr>
      <w:tr w:rsidR="00C05209" w:rsidRPr="004557E8" w14:paraId="68525A48" w14:textId="77777777" w:rsidTr="00816E3C">
        <w:trPr>
          <w:cantSplit/>
          <w:tblHeader/>
        </w:trPr>
        <w:tc>
          <w:tcPr>
            <w:tcW w:w="9072" w:type="dxa"/>
            <w:gridSpan w:val="2"/>
            <w:vAlign w:val="center"/>
          </w:tcPr>
          <w:p w14:paraId="4C6C0D98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hAnsi="Times New Roman"/>
                <w:i/>
                <w:sz w:val="24"/>
                <w:szCs w:val="24"/>
              </w:rPr>
              <w:t>Нарушения со стороны мышечной, скелетной и соединительной ткани</w:t>
            </w:r>
          </w:p>
        </w:tc>
      </w:tr>
      <w:tr w:rsidR="00C05209" w:rsidRPr="004557E8" w14:paraId="2E66A681" w14:textId="77777777" w:rsidTr="00816E3C">
        <w:tc>
          <w:tcPr>
            <w:tcW w:w="1560" w:type="dxa"/>
            <w:vAlign w:val="center"/>
          </w:tcPr>
          <w:p w14:paraId="3A5E62BC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7512" w:type="dxa"/>
            <w:vAlign w:val="center"/>
          </w:tcPr>
          <w:p w14:paraId="51FE9353" w14:textId="77777777" w:rsidR="00C05209" w:rsidRPr="004557E8" w:rsidRDefault="00C05209" w:rsidP="00816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Артралгия</w:t>
            </w:r>
          </w:p>
        </w:tc>
      </w:tr>
      <w:tr w:rsidR="00435800" w:rsidRPr="004557E8" w14:paraId="4A21219C" w14:textId="77777777" w:rsidTr="00177F5A">
        <w:trPr>
          <w:cantSplit/>
          <w:tblHeader/>
        </w:trPr>
        <w:tc>
          <w:tcPr>
            <w:tcW w:w="9072" w:type="dxa"/>
            <w:gridSpan w:val="2"/>
            <w:vAlign w:val="center"/>
          </w:tcPr>
          <w:p w14:paraId="330E640D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57E8">
              <w:rPr>
                <w:rFonts w:ascii="Times New Roman" w:hAnsi="Times New Roman"/>
                <w:i/>
                <w:sz w:val="24"/>
                <w:szCs w:val="24"/>
              </w:rPr>
              <w:t>Общие нарушения и реакции в месте введения</w:t>
            </w:r>
          </w:p>
        </w:tc>
      </w:tr>
      <w:tr w:rsidR="00435800" w:rsidRPr="004557E8" w14:paraId="6F1FC153" w14:textId="77777777" w:rsidTr="00177F5A">
        <w:tc>
          <w:tcPr>
            <w:tcW w:w="1560" w:type="dxa"/>
            <w:vAlign w:val="center"/>
          </w:tcPr>
          <w:p w14:paraId="7413442C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7512" w:type="dxa"/>
            <w:vAlign w:val="center"/>
          </w:tcPr>
          <w:p w14:paraId="222B3868" w14:textId="77777777" w:rsidR="00435800" w:rsidRPr="004557E8" w:rsidRDefault="00435800" w:rsidP="003E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hAnsi="Times New Roman"/>
                <w:sz w:val="24"/>
                <w:szCs w:val="24"/>
              </w:rPr>
              <w:t xml:space="preserve">Утомляемость </w:t>
            </w:r>
          </w:p>
        </w:tc>
      </w:tr>
    </w:tbl>
    <w:p w14:paraId="30487B4C" w14:textId="77777777" w:rsidR="00546519" w:rsidRPr="004557E8" w:rsidRDefault="009736C5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vertAlign w:val="superscript"/>
        </w:rPr>
        <w:t>1</w:t>
      </w:r>
      <w:r w:rsidRPr="004557E8">
        <w:rPr>
          <w:rFonts w:ascii="Times New Roman" w:hAnsi="Times New Roman"/>
          <w:sz w:val="20"/>
          <w:szCs w:val="20"/>
        </w:rPr>
        <w:t xml:space="preserve"> Побочные реакции, выявленные в пострегистрационный период для пр</w:t>
      </w:r>
      <w:r w:rsidR="00A771EC" w:rsidRPr="004557E8">
        <w:rPr>
          <w:rFonts w:ascii="Times New Roman" w:hAnsi="Times New Roman"/>
          <w:sz w:val="20"/>
          <w:szCs w:val="20"/>
        </w:rPr>
        <w:t>епаратов</w:t>
      </w:r>
      <w:r w:rsidRPr="004557E8">
        <w:rPr>
          <w:rFonts w:ascii="Times New Roman" w:hAnsi="Times New Roman"/>
          <w:sz w:val="20"/>
          <w:szCs w:val="20"/>
        </w:rPr>
        <w:t xml:space="preserve">, содержащих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</w:t>
      </w:r>
      <w:proofErr w:type="spellEnd"/>
      <w:r w:rsidRPr="004557E8">
        <w:rPr>
          <w:rFonts w:ascii="Times New Roman" w:hAnsi="Times New Roman"/>
          <w:sz w:val="20"/>
          <w:szCs w:val="20"/>
        </w:rPr>
        <w:t>.</w:t>
      </w:r>
    </w:p>
    <w:p w14:paraId="67AEED0C" w14:textId="77777777" w:rsidR="009736C5" w:rsidRPr="004557E8" w:rsidRDefault="009736C5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Изменения в лабораторных исследованиях липидов</w:t>
      </w:r>
    </w:p>
    <w:p w14:paraId="3CC8C86A" w14:textId="77777777" w:rsidR="00D2685B" w:rsidRPr="004557E8" w:rsidRDefault="00D2685B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lastRenderedPageBreak/>
        <w:t xml:space="preserve">В открытом исследовании фазы 2 (GS-US-320-4035; </w:t>
      </w:r>
      <w:r w:rsidRPr="004557E8">
        <w:rPr>
          <w:rFonts w:ascii="Times New Roman" w:hAnsi="Times New Roman"/>
          <w:i/>
          <w:iCs/>
          <w:sz w:val="24"/>
          <w:szCs w:val="24"/>
        </w:rPr>
        <w:t>«Исследование 4035»</w:t>
      </w:r>
      <w:r w:rsidRPr="004557E8">
        <w:rPr>
          <w:rFonts w:ascii="Times New Roman" w:hAnsi="Times New Roman"/>
          <w:sz w:val="24"/>
          <w:szCs w:val="24"/>
        </w:rPr>
        <w:t xml:space="preserve">) для оценки эффективности и безопасности перехода с другого противовирусного режима на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пациентов</w:t>
      </w:r>
      <w:r w:rsidR="00EE3032" w:rsidRPr="004557E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EE3032" w:rsidRPr="004557E8">
        <w:rPr>
          <w:rFonts w:ascii="Times New Roman" w:hAnsi="Times New Roman"/>
          <w:sz w:val="24"/>
          <w:szCs w:val="24"/>
        </w:rPr>
        <w:t>вирусологически</w:t>
      </w:r>
      <w:proofErr w:type="spellEnd"/>
      <w:r w:rsidR="00EE3032" w:rsidRPr="004557E8">
        <w:rPr>
          <w:rFonts w:ascii="Times New Roman" w:hAnsi="Times New Roman"/>
          <w:sz w:val="24"/>
          <w:szCs w:val="24"/>
        </w:rPr>
        <w:t xml:space="preserve"> подавленной инфекцией ВГВ</w:t>
      </w:r>
      <w:r w:rsidRPr="004557E8">
        <w:rPr>
          <w:rFonts w:ascii="Times New Roman" w:hAnsi="Times New Roman"/>
          <w:sz w:val="24"/>
          <w:szCs w:val="24"/>
        </w:rPr>
        <w:t xml:space="preserve">, </w:t>
      </w:r>
      <w:r w:rsidR="00EA4C98" w:rsidRPr="004557E8">
        <w:rPr>
          <w:rFonts w:ascii="Times New Roman" w:hAnsi="Times New Roman"/>
          <w:sz w:val="24"/>
          <w:szCs w:val="24"/>
        </w:rPr>
        <w:t xml:space="preserve">наблюдалось небольшое среднее увеличение уровня общего холестерина натощак </w:t>
      </w:r>
      <w:r w:rsidRPr="004557E8">
        <w:rPr>
          <w:rFonts w:ascii="Times New Roman" w:hAnsi="Times New Roman"/>
          <w:sz w:val="24"/>
          <w:szCs w:val="24"/>
        </w:rPr>
        <w:t>прямы</w:t>
      </w:r>
      <w:r w:rsidR="00EA4C98" w:rsidRPr="004557E8">
        <w:rPr>
          <w:rFonts w:ascii="Times New Roman" w:hAnsi="Times New Roman"/>
          <w:sz w:val="24"/>
          <w:szCs w:val="24"/>
        </w:rPr>
        <w:t>х</w:t>
      </w:r>
      <w:r w:rsidRPr="004557E8">
        <w:rPr>
          <w:rFonts w:ascii="Times New Roman" w:hAnsi="Times New Roman"/>
          <w:sz w:val="24"/>
          <w:szCs w:val="24"/>
        </w:rPr>
        <w:t xml:space="preserve"> липопротеин</w:t>
      </w:r>
      <w:r w:rsidR="00EA4C98" w:rsidRPr="004557E8">
        <w:rPr>
          <w:rFonts w:ascii="Times New Roman" w:hAnsi="Times New Roman"/>
          <w:sz w:val="24"/>
          <w:szCs w:val="24"/>
        </w:rPr>
        <w:t>ов</w:t>
      </w:r>
      <w:r w:rsidRPr="004557E8">
        <w:rPr>
          <w:rFonts w:ascii="Times New Roman" w:hAnsi="Times New Roman"/>
          <w:sz w:val="24"/>
          <w:szCs w:val="24"/>
        </w:rPr>
        <w:t xml:space="preserve"> низкой плотности (ЛПНП), липопротеин</w:t>
      </w:r>
      <w:r w:rsidR="00EA4C98" w:rsidRPr="004557E8">
        <w:rPr>
          <w:rFonts w:ascii="Times New Roman" w:hAnsi="Times New Roman"/>
          <w:sz w:val="24"/>
          <w:szCs w:val="24"/>
        </w:rPr>
        <w:t>ов</w:t>
      </w:r>
      <w:r w:rsidRPr="004557E8">
        <w:rPr>
          <w:rFonts w:ascii="Times New Roman" w:hAnsi="Times New Roman"/>
          <w:sz w:val="24"/>
          <w:szCs w:val="24"/>
        </w:rPr>
        <w:t xml:space="preserve"> высокой плотности (ЛПВП) и триглицерид</w:t>
      </w:r>
      <w:r w:rsidR="00EA4C98" w:rsidRPr="004557E8">
        <w:rPr>
          <w:rFonts w:ascii="Times New Roman" w:hAnsi="Times New Roman"/>
          <w:sz w:val="24"/>
          <w:szCs w:val="24"/>
        </w:rPr>
        <w:t>ов</w:t>
      </w:r>
      <w:r w:rsidRPr="004557E8">
        <w:rPr>
          <w:rFonts w:ascii="Times New Roman" w:hAnsi="Times New Roman"/>
          <w:sz w:val="24"/>
          <w:szCs w:val="24"/>
        </w:rPr>
        <w:t xml:space="preserve"> от исходного уровня до 96-й недели наблюдались у пациентов с умеренной или тяжелой почечной недостаточностью (часть A, когорта 1) и </w:t>
      </w:r>
      <w:r w:rsidR="00EE3032" w:rsidRPr="004557E8">
        <w:rPr>
          <w:rFonts w:ascii="Times New Roman" w:hAnsi="Times New Roman"/>
          <w:sz w:val="24"/>
          <w:szCs w:val="24"/>
        </w:rPr>
        <w:t xml:space="preserve">у </w:t>
      </w:r>
      <w:r w:rsidRPr="004557E8">
        <w:rPr>
          <w:rFonts w:ascii="Times New Roman" w:hAnsi="Times New Roman"/>
          <w:sz w:val="24"/>
          <w:szCs w:val="24"/>
        </w:rPr>
        <w:t xml:space="preserve">пациентов с умеренной или тяжелой печеночной недостаточностью (часть B), что согласуется с изменениями, наблюдаемыми в </w:t>
      </w:r>
      <w:r w:rsidRPr="004557E8">
        <w:rPr>
          <w:rFonts w:ascii="Times New Roman" w:hAnsi="Times New Roman"/>
          <w:i/>
          <w:iCs/>
          <w:sz w:val="24"/>
          <w:szCs w:val="24"/>
        </w:rPr>
        <w:t>исследованиях 108 и 110</w:t>
      </w:r>
      <w:r w:rsidRPr="004557E8">
        <w:rPr>
          <w:rFonts w:ascii="Times New Roman" w:hAnsi="Times New Roman"/>
          <w:sz w:val="24"/>
          <w:szCs w:val="24"/>
        </w:rPr>
        <w:t xml:space="preserve">. Небольшое медианное снижение общего холестерина, ЛПНП и триглицеридов наблюдалось у пациентов с </w:t>
      </w:r>
      <w:proofErr w:type="spellStart"/>
      <w:r w:rsidRPr="004557E8">
        <w:rPr>
          <w:rFonts w:ascii="Times New Roman" w:hAnsi="Times New Roman"/>
          <w:sz w:val="24"/>
          <w:szCs w:val="24"/>
        </w:rPr>
        <w:t>тХПН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гемодиализе в когорте 2, часть А, в то время как небольшое медианное увеличение ЛПВП наблюдалось от исходного уровня до 96-й недели. Медиана (Q1, Q3) изменения отношения общего холестерина к ЛПВП по сравнению с исходным уровнем на </w:t>
      </w:r>
      <w:r w:rsidR="00EE3032" w:rsidRPr="004557E8">
        <w:rPr>
          <w:rFonts w:ascii="Times New Roman" w:hAnsi="Times New Roman"/>
          <w:sz w:val="24"/>
          <w:szCs w:val="24"/>
        </w:rPr>
        <w:t xml:space="preserve">96 </w:t>
      </w:r>
      <w:r w:rsidRPr="004557E8">
        <w:rPr>
          <w:rFonts w:ascii="Times New Roman" w:hAnsi="Times New Roman"/>
          <w:sz w:val="24"/>
          <w:szCs w:val="24"/>
        </w:rPr>
        <w:t xml:space="preserve">неделе составила 0,1 (-0,4, 0,4) в группе с умеренной или тяжелой почечной недостаточностью и -0,4 (-0,8, -0,1) у пациентов с терминальной почечной недостаточностью на гемодиализе и 0,1 (-0,2, 0,4) у </w:t>
      </w:r>
      <w:r w:rsidR="00EE3032" w:rsidRPr="004557E8">
        <w:rPr>
          <w:rFonts w:ascii="Times New Roman" w:hAnsi="Times New Roman"/>
          <w:sz w:val="24"/>
          <w:szCs w:val="24"/>
        </w:rPr>
        <w:t>пациентов</w:t>
      </w:r>
      <w:r w:rsidRPr="004557E8">
        <w:rPr>
          <w:rFonts w:ascii="Times New Roman" w:hAnsi="Times New Roman"/>
          <w:sz w:val="24"/>
          <w:szCs w:val="24"/>
        </w:rPr>
        <w:t xml:space="preserve"> с умеренной или тяжелой печеночной недостаточностью.</w:t>
      </w:r>
    </w:p>
    <w:p w14:paraId="7DBD694A" w14:textId="77777777" w:rsidR="009736C5" w:rsidRPr="004557E8" w:rsidRDefault="009736C5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Метаболические параметры</w:t>
      </w:r>
    </w:p>
    <w:p w14:paraId="667D3377" w14:textId="77777777" w:rsidR="009736C5" w:rsidRPr="004557E8" w:rsidRDefault="009736C5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Во время терапии может увеличиваться масса тела, уровни липидов и глюкозы в крови.</w:t>
      </w:r>
    </w:p>
    <w:p w14:paraId="6C2C5889" w14:textId="77777777" w:rsidR="009736C5" w:rsidRPr="004557E8" w:rsidRDefault="009736C5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Другие особые группы населения</w:t>
      </w:r>
    </w:p>
    <w:p w14:paraId="7C4D66B8" w14:textId="77777777" w:rsidR="009736C5" w:rsidRPr="004557E8" w:rsidRDefault="008862ED" w:rsidP="003E017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557E8">
        <w:rPr>
          <w:rFonts w:ascii="Times New Roman" w:hAnsi="Times New Roman"/>
          <w:iCs/>
          <w:sz w:val="24"/>
          <w:szCs w:val="24"/>
        </w:rPr>
        <w:t xml:space="preserve">В исследовании 4035 </w:t>
      </w:r>
      <w:r w:rsidR="009736C5" w:rsidRPr="004557E8">
        <w:rPr>
          <w:rFonts w:ascii="Times New Roman" w:hAnsi="Times New Roman"/>
          <w:iCs/>
          <w:sz w:val="24"/>
          <w:szCs w:val="24"/>
        </w:rPr>
        <w:t xml:space="preserve">у </w:t>
      </w:r>
      <w:proofErr w:type="spellStart"/>
      <w:r w:rsidR="009736C5" w:rsidRPr="004557E8">
        <w:rPr>
          <w:rFonts w:ascii="Times New Roman" w:hAnsi="Times New Roman"/>
          <w:iCs/>
          <w:sz w:val="24"/>
          <w:szCs w:val="24"/>
        </w:rPr>
        <w:t>вирусологически</w:t>
      </w:r>
      <w:proofErr w:type="spellEnd"/>
      <w:r w:rsidR="009736C5" w:rsidRPr="004557E8">
        <w:rPr>
          <w:rFonts w:ascii="Times New Roman" w:hAnsi="Times New Roman"/>
          <w:iCs/>
          <w:sz w:val="24"/>
          <w:szCs w:val="24"/>
        </w:rPr>
        <w:t xml:space="preserve"> подавленных пациентов с умеренной и тяжелой почечной недостаточностью (</w:t>
      </w:r>
      <w:proofErr w:type="spellStart"/>
      <w:r w:rsidR="009736C5" w:rsidRPr="004557E8">
        <w:rPr>
          <w:rFonts w:ascii="Times New Roman" w:hAnsi="Times New Roman"/>
          <w:iCs/>
          <w:sz w:val="24"/>
          <w:szCs w:val="24"/>
        </w:rPr>
        <w:t>рСКФ</w:t>
      </w:r>
      <w:proofErr w:type="spellEnd"/>
      <w:r w:rsidR="009736C5" w:rsidRPr="004557E8">
        <w:rPr>
          <w:rFonts w:ascii="Times New Roman" w:hAnsi="Times New Roman"/>
          <w:iCs/>
          <w:sz w:val="24"/>
          <w:szCs w:val="24"/>
        </w:rPr>
        <w:t xml:space="preserve"> по методу </w:t>
      </w:r>
      <w:proofErr w:type="spellStart"/>
      <w:r w:rsidR="009736C5" w:rsidRPr="004557E8">
        <w:rPr>
          <w:rFonts w:ascii="Times New Roman" w:hAnsi="Times New Roman"/>
          <w:iCs/>
          <w:sz w:val="24"/>
          <w:szCs w:val="24"/>
        </w:rPr>
        <w:t>Кокрофта-Голта</w:t>
      </w:r>
      <w:proofErr w:type="spellEnd"/>
      <w:r w:rsidR="009736C5" w:rsidRPr="004557E8">
        <w:rPr>
          <w:rFonts w:ascii="Times New Roman" w:hAnsi="Times New Roman"/>
          <w:iCs/>
          <w:sz w:val="24"/>
          <w:szCs w:val="24"/>
        </w:rPr>
        <w:t xml:space="preserve"> от 15 до 59 </w:t>
      </w:r>
      <w:r w:rsidR="00546519" w:rsidRPr="004557E8">
        <w:rPr>
          <w:rFonts w:ascii="Times New Roman" w:hAnsi="Times New Roman"/>
          <w:iCs/>
          <w:sz w:val="24"/>
          <w:szCs w:val="24"/>
        </w:rPr>
        <w:t>мл/мин; Часть А, Когорта 1, N=</w:t>
      </w:r>
      <w:r w:rsidR="009736C5" w:rsidRPr="004557E8">
        <w:rPr>
          <w:rFonts w:ascii="Times New Roman" w:hAnsi="Times New Roman"/>
          <w:iCs/>
          <w:sz w:val="24"/>
          <w:szCs w:val="24"/>
        </w:rPr>
        <w:t>78), терминальной стадией почечной недостаточности (ТПН) (</w:t>
      </w:r>
      <w:proofErr w:type="spellStart"/>
      <w:r w:rsidR="009736C5" w:rsidRPr="004557E8">
        <w:rPr>
          <w:rFonts w:ascii="Times New Roman" w:hAnsi="Times New Roman"/>
          <w:iCs/>
          <w:sz w:val="24"/>
          <w:szCs w:val="24"/>
        </w:rPr>
        <w:t>рСКФ</w:t>
      </w:r>
      <w:proofErr w:type="spellEnd"/>
      <w:r w:rsidR="009736C5" w:rsidRPr="004557E8">
        <w:rPr>
          <w:rFonts w:ascii="Times New Roman" w:hAnsi="Times New Roman"/>
          <w:iCs/>
          <w:sz w:val="24"/>
          <w:szCs w:val="24"/>
        </w:rPr>
        <w:t xml:space="preserve"> &lt;15 мл/мин) на гемодиализ</w:t>
      </w:r>
      <w:r w:rsidR="00546519" w:rsidRPr="004557E8">
        <w:rPr>
          <w:rFonts w:ascii="Times New Roman" w:hAnsi="Times New Roman"/>
          <w:iCs/>
          <w:sz w:val="24"/>
          <w:szCs w:val="24"/>
        </w:rPr>
        <w:t>е (Часть А, Когорта 2, N=</w:t>
      </w:r>
      <w:r w:rsidR="009736C5" w:rsidRPr="004557E8">
        <w:rPr>
          <w:rFonts w:ascii="Times New Roman" w:hAnsi="Times New Roman"/>
          <w:iCs/>
          <w:sz w:val="24"/>
          <w:szCs w:val="24"/>
        </w:rPr>
        <w:t>15) и/или умеренной и тяжелой печеночной недостаточностью (класс В или С по Чайлд-Пью при скрин</w:t>
      </w:r>
      <w:r w:rsidR="00546519" w:rsidRPr="004557E8">
        <w:rPr>
          <w:rFonts w:ascii="Times New Roman" w:hAnsi="Times New Roman"/>
          <w:iCs/>
          <w:sz w:val="24"/>
          <w:szCs w:val="24"/>
        </w:rPr>
        <w:t>инге или с помощью Части В, N=</w:t>
      </w:r>
      <w:r w:rsidR="009736C5" w:rsidRPr="004557E8">
        <w:rPr>
          <w:rFonts w:ascii="Times New Roman" w:hAnsi="Times New Roman"/>
          <w:iCs/>
          <w:sz w:val="24"/>
          <w:szCs w:val="24"/>
        </w:rPr>
        <w:t xml:space="preserve">31), которые перешли с другого противовирусного режима на </w:t>
      </w:r>
      <w:proofErr w:type="spellStart"/>
      <w:r w:rsidR="009736C5" w:rsidRPr="004557E8">
        <w:rPr>
          <w:rFonts w:ascii="Times New Roman" w:hAnsi="Times New Roman"/>
          <w:iCs/>
          <w:sz w:val="24"/>
          <w:szCs w:val="24"/>
        </w:rPr>
        <w:t>тенофовир</w:t>
      </w:r>
      <w:proofErr w:type="spellEnd"/>
      <w:r w:rsidR="009736C5" w:rsidRPr="004557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36C5" w:rsidRPr="004557E8">
        <w:rPr>
          <w:rFonts w:ascii="Times New Roman" w:hAnsi="Times New Roman"/>
          <w:iCs/>
          <w:sz w:val="24"/>
          <w:szCs w:val="24"/>
        </w:rPr>
        <w:t>алафенамид</w:t>
      </w:r>
      <w:proofErr w:type="spellEnd"/>
      <w:r w:rsidR="009736C5" w:rsidRPr="004557E8">
        <w:rPr>
          <w:rFonts w:ascii="Times New Roman" w:hAnsi="Times New Roman"/>
          <w:iCs/>
          <w:sz w:val="24"/>
          <w:szCs w:val="24"/>
        </w:rPr>
        <w:t xml:space="preserve">, никаких дополнительных побочных реакций на </w:t>
      </w:r>
      <w:proofErr w:type="spellStart"/>
      <w:r w:rsidR="009736C5" w:rsidRPr="004557E8">
        <w:rPr>
          <w:rFonts w:ascii="Times New Roman" w:hAnsi="Times New Roman"/>
          <w:iCs/>
          <w:sz w:val="24"/>
          <w:szCs w:val="24"/>
        </w:rPr>
        <w:t>тенофовир</w:t>
      </w:r>
      <w:proofErr w:type="spellEnd"/>
      <w:r w:rsidR="009736C5" w:rsidRPr="004557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36C5" w:rsidRPr="004557E8">
        <w:rPr>
          <w:rFonts w:ascii="Times New Roman" w:hAnsi="Times New Roman"/>
          <w:iCs/>
          <w:sz w:val="24"/>
          <w:szCs w:val="24"/>
        </w:rPr>
        <w:t>алафенамид</w:t>
      </w:r>
      <w:proofErr w:type="spellEnd"/>
      <w:r w:rsidR="009736C5" w:rsidRPr="004557E8">
        <w:rPr>
          <w:rFonts w:ascii="Times New Roman" w:hAnsi="Times New Roman"/>
          <w:iCs/>
          <w:sz w:val="24"/>
          <w:szCs w:val="24"/>
        </w:rPr>
        <w:t xml:space="preserve"> не было выявлено в течение </w:t>
      </w:r>
      <w:r w:rsidR="00EE3032" w:rsidRPr="004557E8">
        <w:rPr>
          <w:rFonts w:ascii="Times New Roman" w:hAnsi="Times New Roman"/>
          <w:iCs/>
          <w:sz w:val="24"/>
          <w:szCs w:val="24"/>
        </w:rPr>
        <w:t>96</w:t>
      </w:r>
      <w:r w:rsidR="009736C5" w:rsidRPr="004557E8">
        <w:rPr>
          <w:rFonts w:ascii="Times New Roman" w:hAnsi="Times New Roman"/>
          <w:iCs/>
          <w:sz w:val="24"/>
          <w:szCs w:val="24"/>
        </w:rPr>
        <w:t xml:space="preserve"> недель.</w:t>
      </w:r>
    </w:p>
    <w:p w14:paraId="406A90DD" w14:textId="77777777" w:rsidR="00EE3032" w:rsidRPr="004557E8" w:rsidRDefault="00EE3032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Дети</w:t>
      </w:r>
    </w:p>
    <w:p w14:paraId="5344370A" w14:textId="77777777" w:rsidR="00EE3032" w:rsidRPr="004557E8" w:rsidRDefault="00EE3032" w:rsidP="003E017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557E8">
        <w:rPr>
          <w:rFonts w:ascii="Times New Roman" w:hAnsi="Times New Roman"/>
          <w:iCs/>
          <w:sz w:val="24"/>
          <w:szCs w:val="24"/>
        </w:rPr>
        <w:t xml:space="preserve">Безопасность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оценивал</w:t>
      </w:r>
      <w:r w:rsidR="00D75AA1" w:rsidRPr="004557E8">
        <w:rPr>
          <w:rFonts w:ascii="Times New Roman" w:hAnsi="Times New Roman"/>
          <w:iCs/>
          <w:sz w:val="24"/>
          <w:szCs w:val="24"/>
        </w:rPr>
        <w:t>ась</w:t>
      </w:r>
      <w:r w:rsidRPr="004557E8">
        <w:rPr>
          <w:rFonts w:ascii="Times New Roman" w:hAnsi="Times New Roman"/>
          <w:iCs/>
          <w:sz w:val="24"/>
          <w:szCs w:val="24"/>
        </w:rPr>
        <w:t xml:space="preserve"> у 88 инфицированных ВГВ педиатрических пациентов в возрасте от 12 до &lt; 18 лет с массой тела ≥ 35 кг</w:t>
      </w:r>
      <w:r w:rsidR="00E247E0" w:rsidRPr="004557E8">
        <w:rPr>
          <w:rFonts w:ascii="Times New Roman" w:hAnsi="Times New Roman"/>
          <w:iCs/>
          <w:sz w:val="24"/>
          <w:szCs w:val="24"/>
        </w:rPr>
        <w:t xml:space="preserve"> </w:t>
      </w:r>
      <w:r w:rsidRPr="004557E8">
        <w:rPr>
          <w:rFonts w:ascii="Times New Roman" w:hAnsi="Times New Roman"/>
          <w:iCs/>
          <w:sz w:val="24"/>
          <w:szCs w:val="24"/>
        </w:rPr>
        <w:t xml:space="preserve">(группа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N=47, группа плацебо N=23) и </w:t>
      </w:r>
      <w:r w:rsidR="008862ED" w:rsidRPr="004557E8">
        <w:rPr>
          <w:rFonts w:ascii="Times New Roman" w:hAnsi="Times New Roman"/>
          <w:iCs/>
          <w:sz w:val="24"/>
          <w:szCs w:val="24"/>
        </w:rPr>
        <w:t xml:space="preserve">от </w:t>
      </w:r>
      <w:r w:rsidRPr="004557E8">
        <w:rPr>
          <w:rFonts w:ascii="Times New Roman" w:hAnsi="Times New Roman"/>
          <w:iCs/>
          <w:sz w:val="24"/>
          <w:szCs w:val="24"/>
        </w:rPr>
        <w:t xml:space="preserve">6 до &lt; 12 лет с массой тела ≥ 25 кг (группа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N = 12, группа плацебо N = 6) до 24 недел</w:t>
      </w:r>
      <w:r w:rsidR="00D75AA1" w:rsidRPr="004557E8">
        <w:rPr>
          <w:rFonts w:ascii="Times New Roman" w:hAnsi="Times New Roman"/>
          <w:iCs/>
          <w:sz w:val="24"/>
          <w:szCs w:val="24"/>
        </w:rPr>
        <w:t>ь</w:t>
      </w:r>
      <w:r w:rsidRPr="004557E8">
        <w:rPr>
          <w:rFonts w:ascii="Times New Roman" w:hAnsi="Times New Roman"/>
          <w:iCs/>
          <w:sz w:val="24"/>
          <w:szCs w:val="24"/>
        </w:rPr>
        <w:t xml:space="preserve"> в рандомизированном двойном слепом плацебо-контролируемом клиническом исследовании GS-US-320-1092 </w:t>
      </w:r>
      <w:r w:rsidRPr="004557E8">
        <w:rPr>
          <w:rFonts w:ascii="Times New Roman" w:hAnsi="Times New Roman"/>
          <w:i/>
          <w:sz w:val="24"/>
          <w:szCs w:val="24"/>
        </w:rPr>
        <w:t>(«Исследование 1092»).</w:t>
      </w:r>
      <w:r w:rsidRPr="004557E8">
        <w:rPr>
          <w:rFonts w:ascii="Times New Roman" w:hAnsi="Times New Roman"/>
          <w:iCs/>
          <w:sz w:val="24"/>
          <w:szCs w:val="24"/>
        </w:rPr>
        <w:t xml:space="preserve"> После двойной слепой фазы пациенты были переведены на открытую терапию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алафенамидом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на 24-й неделе. Профиль безопасности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у детей был сравним с </w:t>
      </w:r>
      <w:r w:rsidR="00D75AA1" w:rsidRPr="004557E8">
        <w:rPr>
          <w:rFonts w:ascii="Times New Roman" w:hAnsi="Times New Roman"/>
          <w:iCs/>
          <w:sz w:val="24"/>
          <w:szCs w:val="24"/>
        </w:rPr>
        <w:t>данными</w:t>
      </w:r>
      <w:r w:rsidRPr="004557E8">
        <w:rPr>
          <w:rFonts w:ascii="Times New Roman" w:hAnsi="Times New Roman"/>
          <w:iCs/>
          <w:sz w:val="24"/>
          <w:szCs w:val="24"/>
        </w:rPr>
        <w:t xml:space="preserve"> у взрослых. Сообщалось о снижении минеральной плотности костной ткани (МПКТ ≥ 4%) поясничного отдела позвоночника и всего тела у некоторых детей в возрасте 6 лет и старше с массой тела не менее 25 кг, получавших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iCs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iCs/>
          <w:sz w:val="24"/>
          <w:szCs w:val="24"/>
        </w:rPr>
        <w:t xml:space="preserve"> на срок до 48 недель (см. разделы 4.4 и 5.1).</w:t>
      </w:r>
    </w:p>
    <w:bookmarkEnd w:id="9"/>
    <w:p w14:paraId="7B0062C8" w14:textId="77777777" w:rsidR="000633A9" w:rsidRPr="004557E8" w:rsidRDefault="000633A9" w:rsidP="003E01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DA7EED" w14:textId="77777777" w:rsidR="00814DFC" w:rsidRPr="004557E8" w:rsidRDefault="00814DFC" w:rsidP="003E01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57E8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51443612" w14:textId="77777777" w:rsidR="004528E1" w:rsidRPr="004557E8" w:rsidRDefault="00814DFC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4557E8">
        <w:rPr>
          <w:rFonts w:ascii="Times New Roman" w:hAnsi="Times New Roman"/>
          <w:sz w:val="24"/>
          <w:szCs w:val="24"/>
        </w:rPr>
        <w:t>ЛП</w:t>
      </w:r>
      <w:r w:rsidRPr="004557E8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4557E8">
        <w:rPr>
          <w:rFonts w:ascii="Times New Roman" w:hAnsi="Times New Roman"/>
          <w:sz w:val="24"/>
          <w:szCs w:val="24"/>
        </w:rPr>
        <w:t>ЛП</w:t>
      </w:r>
      <w:r w:rsidRPr="004557E8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4557E8">
        <w:rPr>
          <w:rFonts w:ascii="Times New Roman" w:hAnsi="Times New Roman"/>
          <w:sz w:val="24"/>
          <w:szCs w:val="24"/>
        </w:rPr>
        <w:t>ЛП</w:t>
      </w:r>
      <w:r w:rsidRPr="004557E8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4557E8">
        <w:rPr>
          <w:rFonts w:ascii="Times New Roman" w:hAnsi="Times New Roman"/>
          <w:sz w:val="24"/>
          <w:szCs w:val="24"/>
        </w:rPr>
        <w:t xml:space="preserve"> </w:t>
      </w:r>
    </w:p>
    <w:p w14:paraId="40DB2090" w14:textId="77777777" w:rsidR="004528E1" w:rsidRPr="004557E8" w:rsidRDefault="004528E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4557E8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317D0DDA" w14:textId="77777777" w:rsidR="00814DFC" w:rsidRPr="004557E8" w:rsidRDefault="00853B87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4557E8">
          <w:rPr>
            <w:rStyle w:val="af1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4557E8">
          <w:rPr>
            <w:rStyle w:val="af1"/>
            <w:rFonts w:ascii="Times New Roman" w:hAnsi="Times New Roman"/>
            <w:sz w:val="24"/>
            <w:szCs w:val="24"/>
          </w:rPr>
          <w:t>://</w:t>
        </w:r>
        <w:r w:rsidR="004528E1" w:rsidRPr="004557E8">
          <w:rPr>
            <w:rStyle w:val="af1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4557E8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4557E8">
          <w:rPr>
            <w:rStyle w:val="af1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4557E8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4557E8">
          <w:rPr>
            <w:rStyle w:val="af1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2589405C" w14:textId="77777777" w:rsidR="009D67EC" w:rsidRPr="004557E8" w:rsidRDefault="009D67EC" w:rsidP="003E017A">
      <w:pPr>
        <w:pStyle w:val="ae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76CCEF" w14:textId="77777777" w:rsidR="00123DB5" w:rsidRPr="004557E8" w:rsidRDefault="00123DB5" w:rsidP="003E01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4.9 Передозировка</w:t>
      </w:r>
    </w:p>
    <w:p w14:paraId="71A0B98C" w14:textId="77777777" w:rsidR="00177F5A" w:rsidRPr="004557E8" w:rsidRDefault="00177F5A" w:rsidP="003E017A">
      <w:pPr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bookmarkStart w:id="12" w:name="_Hlk53053856"/>
      <w:r w:rsidRPr="004557E8">
        <w:rPr>
          <w:rFonts w:ascii="Times New Roman" w:hAnsi="Times New Roman"/>
          <w:i/>
          <w:spacing w:val="-1"/>
          <w:sz w:val="24"/>
          <w:szCs w:val="24"/>
        </w:rPr>
        <w:t>Симптомы:</w:t>
      </w:r>
      <w:r w:rsidRPr="004557E8">
        <w:rPr>
          <w:rFonts w:ascii="Times New Roman" w:hAnsi="Times New Roman"/>
          <w:spacing w:val="-1"/>
          <w:sz w:val="24"/>
          <w:szCs w:val="24"/>
        </w:rPr>
        <w:t xml:space="preserve"> </w:t>
      </w:r>
      <w:bookmarkStart w:id="13" w:name="_Hlk173233349"/>
      <w:r w:rsidRPr="004557E8">
        <w:rPr>
          <w:rFonts w:ascii="Times New Roman" w:hAnsi="Times New Roman"/>
          <w:spacing w:val="-1"/>
          <w:sz w:val="24"/>
          <w:szCs w:val="24"/>
        </w:rPr>
        <w:t xml:space="preserve">в случае передозировки пациент должен находиться под наблюдением </w:t>
      </w:r>
      <w:r w:rsidR="008862ED" w:rsidRPr="004557E8">
        <w:rPr>
          <w:rFonts w:ascii="Times New Roman" w:hAnsi="Times New Roman"/>
          <w:spacing w:val="-1"/>
          <w:sz w:val="24"/>
          <w:szCs w:val="24"/>
        </w:rPr>
        <w:t xml:space="preserve">на предмет наличия </w:t>
      </w:r>
      <w:r w:rsidRPr="004557E8">
        <w:rPr>
          <w:rFonts w:ascii="Times New Roman" w:hAnsi="Times New Roman"/>
          <w:spacing w:val="-1"/>
          <w:sz w:val="24"/>
          <w:szCs w:val="24"/>
        </w:rPr>
        <w:t xml:space="preserve">признаков токсичности </w:t>
      </w:r>
      <w:bookmarkEnd w:id="13"/>
      <w:r w:rsidRPr="004557E8">
        <w:rPr>
          <w:rFonts w:ascii="Times New Roman" w:hAnsi="Times New Roman"/>
          <w:spacing w:val="-1"/>
          <w:sz w:val="24"/>
          <w:szCs w:val="24"/>
        </w:rPr>
        <w:t xml:space="preserve">(см. раздел </w:t>
      </w:r>
      <w:r w:rsidR="007761D4" w:rsidRPr="004557E8">
        <w:rPr>
          <w:rFonts w:ascii="Times New Roman" w:hAnsi="Times New Roman"/>
          <w:spacing w:val="-1"/>
          <w:sz w:val="24"/>
          <w:szCs w:val="24"/>
        </w:rPr>
        <w:t>4.8)</w:t>
      </w:r>
      <w:r w:rsidR="00CC1269" w:rsidRPr="004557E8">
        <w:rPr>
          <w:rFonts w:ascii="Times New Roman" w:hAnsi="Times New Roman"/>
          <w:spacing w:val="-1"/>
          <w:sz w:val="24"/>
          <w:szCs w:val="24"/>
        </w:rPr>
        <w:t>.</w:t>
      </w:r>
    </w:p>
    <w:p w14:paraId="3DFB3010" w14:textId="77777777" w:rsidR="00177F5A" w:rsidRPr="004557E8" w:rsidRDefault="007761D4" w:rsidP="003E017A">
      <w:pPr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4557E8">
        <w:rPr>
          <w:rFonts w:ascii="Times New Roman" w:hAnsi="Times New Roman"/>
          <w:i/>
          <w:iCs/>
          <w:spacing w:val="-1"/>
          <w:sz w:val="24"/>
          <w:szCs w:val="24"/>
        </w:rPr>
        <w:t>Лечение:</w:t>
      </w:r>
      <w:r w:rsidRPr="004557E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77F5A" w:rsidRPr="004557E8">
        <w:rPr>
          <w:rFonts w:ascii="Times New Roman" w:hAnsi="Times New Roman"/>
          <w:spacing w:val="-1"/>
          <w:sz w:val="24"/>
          <w:szCs w:val="24"/>
        </w:rPr>
        <w:t>поддерживающи</w:t>
      </w:r>
      <w:r w:rsidRPr="004557E8">
        <w:rPr>
          <w:rFonts w:ascii="Times New Roman" w:hAnsi="Times New Roman"/>
          <w:spacing w:val="-1"/>
          <w:sz w:val="24"/>
          <w:szCs w:val="24"/>
        </w:rPr>
        <w:t>е</w:t>
      </w:r>
      <w:r w:rsidR="00177F5A" w:rsidRPr="004557E8">
        <w:rPr>
          <w:rFonts w:ascii="Times New Roman" w:hAnsi="Times New Roman"/>
          <w:spacing w:val="-1"/>
          <w:sz w:val="24"/>
          <w:szCs w:val="24"/>
        </w:rPr>
        <w:t xml:space="preserve"> мероприяти</w:t>
      </w:r>
      <w:r w:rsidRPr="004557E8">
        <w:rPr>
          <w:rFonts w:ascii="Times New Roman" w:hAnsi="Times New Roman"/>
          <w:spacing w:val="-1"/>
          <w:sz w:val="24"/>
          <w:szCs w:val="24"/>
        </w:rPr>
        <w:t>я</w:t>
      </w:r>
      <w:r w:rsidR="00177F5A" w:rsidRPr="004557E8">
        <w:rPr>
          <w:rFonts w:ascii="Times New Roman" w:hAnsi="Times New Roman"/>
          <w:spacing w:val="-1"/>
          <w:sz w:val="24"/>
          <w:szCs w:val="24"/>
        </w:rPr>
        <w:t>, включая мониторинг важнейших физиологических показателей и наблюдение за клиническим состоянием пациента.</w:t>
      </w:r>
    </w:p>
    <w:p w14:paraId="686FA78F" w14:textId="77777777" w:rsidR="00177F5A" w:rsidRPr="004557E8" w:rsidRDefault="00177F5A" w:rsidP="003E017A">
      <w:pPr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proofErr w:type="spellStart"/>
      <w:r w:rsidRPr="004557E8">
        <w:rPr>
          <w:rFonts w:ascii="Times New Roman" w:hAnsi="Times New Roman"/>
          <w:spacing w:val="-1"/>
          <w:sz w:val="24"/>
          <w:szCs w:val="24"/>
        </w:rPr>
        <w:t>Тенофови</w:t>
      </w:r>
      <w:r w:rsidR="00E0512E" w:rsidRPr="004557E8">
        <w:rPr>
          <w:rFonts w:ascii="Times New Roman" w:hAnsi="Times New Roman"/>
          <w:spacing w:val="-1"/>
          <w:sz w:val="24"/>
          <w:szCs w:val="24"/>
        </w:rPr>
        <w:t>ра</w:t>
      </w:r>
      <w:proofErr w:type="spellEnd"/>
      <w:r w:rsidR="00E0512E" w:rsidRPr="004557E8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E0512E" w:rsidRPr="004557E8">
        <w:rPr>
          <w:rFonts w:ascii="Times New Roman" w:hAnsi="Times New Roman"/>
          <w:spacing w:val="-1"/>
          <w:sz w:val="24"/>
          <w:szCs w:val="24"/>
        </w:rPr>
        <w:t>алафенамид</w:t>
      </w:r>
      <w:proofErr w:type="spellEnd"/>
      <w:r w:rsidR="00E0512E" w:rsidRPr="004557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557E8">
        <w:rPr>
          <w:rFonts w:ascii="Times New Roman" w:hAnsi="Times New Roman"/>
          <w:spacing w:val="-1"/>
          <w:sz w:val="24"/>
          <w:szCs w:val="24"/>
        </w:rPr>
        <w:t>эффективно выводится гемодиализом с коэфф</w:t>
      </w:r>
      <w:r w:rsidR="00546519" w:rsidRPr="004557E8">
        <w:rPr>
          <w:rFonts w:ascii="Times New Roman" w:hAnsi="Times New Roman"/>
          <w:spacing w:val="-1"/>
          <w:sz w:val="24"/>
          <w:szCs w:val="24"/>
        </w:rPr>
        <w:t>ициентом экстракции примерно 54</w:t>
      </w:r>
      <w:r w:rsidRPr="004557E8">
        <w:rPr>
          <w:rFonts w:ascii="Times New Roman" w:hAnsi="Times New Roman"/>
          <w:spacing w:val="-1"/>
          <w:sz w:val="24"/>
          <w:szCs w:val="24"/>
        </w:rPr>
        <w:t xml:space="preserve">%. Неизвестно, </w:t>
      </w:r>
      <w:r w:rsidR="00A933D8" w:rsidRPr="004557E8">
        <w:rPr>
          <w:rFonts w:ascii="Times New Roman" w:hAnsi="Times New Roman"/>
          <w:spacing w:val="-1"/>
          <w:sz w:val="24"/>
          <w:szCs w:val="24"/>
        </w:rPr>
        <w:t>выводится ли</w:t>
      </w:r>
      <w:r w:rsidRPr="004557E8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pacing w:val="-1"/>
          <w:sz w:val="24"/>
          <w:szCs w:val="24"/>
        </w:rPr>
        <w:t>тенофовир</w:t>
      </w:r>
      <w:r w:rsidR="00E0512E" w:rsidRPr="004557E8">
        <w:rPr>
          <w:rFonts w:ascii="Times New Roman" w:hAnsi="Times New Roman"/>
          <w:spacing w:val="-1"/>
          <w:sz w:val="24"/>
          <w:szCs w:val="24"/>
        </w:rPr>
        <w:t>а</w:t>
      </w:r>
      <w:proofErr w:type="spellEnd"/>
      <w:r w:rsidR="00E0512E" w:rsidRPr="004557E8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E0512E" w:rsidRPr="004557E8">
        <w:rPr>
          <w:rFonts w:ascii="Times New Roman" w:hAnsi="Times New Roman"/>
          <w:spacing w:val="-1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pacing w:val="-1"/>
          <w:sz w:val="24"/>
          <w:szCs w:val="24"/>
        </w:rPr>
        <w:t>перитонеальным</w:t>
      </w:r>
      <w:proofErr w:type="spellEnd"/>
      <w:r w:rsidRPr="004557E8">
        <w:rPr>
          <w:rFonts w:ascii="Times New Roman" w:hAnsi="Times New Roman"/>
          <w:spacing w:val="-1"/>
          <w:sz w:val="24"/>
          <w:szCs w:val="24"/>
        </w:rPr>
        <w:t xml:space="preserve"> диализом. </w:t>
      </w:r>
    </w:p>
    <w:bookmarkEnd w:id="12"/>
    <w:p w14:paraId="1E7BF94F" w14:textId="77777777" w:rsidR="00A933D8" w:rsidRPr="004557E8" w:rsidRDefault="00A933D8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51815CE" w14:textId="77777777" w:rsidR="00C153F2" w:rsidRPr="004557E8" w:rsidRDefault="00C153F2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58094BF6" w14:textId="77777777" w:rsidR="00C153F2" w:rsidRPr="004557E8" w:rsidRDefault="00546519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C153F2"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77B40B2F" w14:textId="77777777" w:rsidR="00A933D8" w:rsidRPr="004557E8" w:rsidRDefault="00F4087F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A933D8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Противовирусные </w:t>
      </w:r>
      <w:r w:rsidR="00D4554D" w:rsidRPr="004557E8">
        <w:rPr>
          <w:rFonts w:ascii="Times New Roman" w:eastAsia="TimesNewRomanPSMT" w:hAnsi="Times New Roman"/>
          <w:sz w:val="24"/>
          <w:szCs w:val="24"/>
          <w:lang w:eastAsia="ru-RU"/>
        </w:rPr>
        <w:t>препараты</w:t>
      </w:r>
      <w:r w:rsidR="00A933D8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для системного применения. Противовирусные препараты прямого действия. </w:t>
      </w:r>
      <w:proofErr w:type="spellStart"/>
      <w:r w:rsidR="00A933D8" w:rsidRPr="004557E8">
        <w:rPr>
          <w:rFonts w:ascii="Times New Roman" w:eastAsia="TimesNewRomanPSMT" w:hAnsi="Times New Roman"/>
          <w:sz w:val="24"/>
          <w:szCs w:val="24"/>
          <w:lang w:eastAsia="ru-RU"/>
        </w:rPr>
        <w:t>Нуклеозидные</w:t>
      </w:r>
      <w:proofErr w:type="spellEnd"/>
      <w:r w:rsidR="00A933D8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и нуклеотидные ингибиторы обратной транскриптазы. </w:t>
      </w:r>
      <w:proofErr w:type="spellStart"/>
      <w:r w:rsidR="00A933D8" w:rsidRPr="004557E8">
        <w:rPr>
          <w:rFonts w:ascii="Times New Roman" w:eastAsia="TimesNewRomanPSMT" w:hAnsi="Times New Roman"/>
          <w:sz w:val="24"/>
          <w:szCs w:val="24"/>
          <w:lang w:eastAsia="ru-RU"/>
        </w:rPr>
        <w:t>Тенофовира</w:t>
      </w:r>
      <w:proofErr w:type="spellEnd"/>
      <w:r w:rsidR="00A933D8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="00A933D8" w:rsidRPr="004557E8">
        <w:rPr>
          <w:rFonts w:ascii="Times New Roman" w:eastAsia="TimesNewRomanPSMT" w:hAnsi="Times New Roman"/>
          <w:sz w:val="24"/>
          <w:szCs w:val="24"/>
          <w:lang w:eastAsia="ru-RU"/>
        </w:rPr>
        <w:t>алафенамид</w:t>
      </w:r>
      <w:proofErr w:type="spellEnd"/>
      <w:r w:rsidR="00A933D8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</w:p>
    <w:p w14:paraId="511DFCB7" w14:textId="77777777" w:rsidR="00413234" w:rsidRPr="004557E8" w:rsidRDefault="0054651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Код АТХ</w:t>
      </w:r>
      <w:r w:rsidR="00413234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J05AF13</w:t>
      </w:r>
    </w:p>
    <w:p w14:paraId="0674CF07" w14:textId="77777777" w:rsidR="00C153F2" w:rsidRPr="004557E8" w:rsidRDefault="00C153F2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557E8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4557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4A36EB27" w14:textId="77777777" w:rsidR="00177F5A" w:rsidRPr="004557E8" w:rsidRDefault="00177F5A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r w:rsidR="000A2332" w:rsidRPr="004557E8">
        <w:rPr>
          <w:rFonts w:ascii="Times New Roman" w:hAnsi="Times New Roman"/>
          <w:sz w:val="24"/>
          <w:szCs w:val="24"/>
          <w:lang w:bidi="ru-RU"/>
        </w:rPr>
        <w:t>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является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фосфонамидатным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пролекарством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(аналог 2’-дезоксиаденозинмонофосфата).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проникает в первичные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гепатоциты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путем пассивной диффузии и печеночными транспортерами поглощения OATP1B1 и OATP1B3.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в первую очередь гидролизуется с образованием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карбоксилэстеразой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1 в первичных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гепатоцитах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. Впоследствии внутриклеточный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фосфорилируется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до фармакологически активного метаболита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дифосфата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.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Дифосфат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подавляет репликацию </w:t>
      </w:r>
      <w:r w:rsidR="00E0512E" w:rsidRPr="004557E8">
        <w:rPr>
          <w:rFonts w:ascii="Times New Roman" w:hAnsi="Times New Roman"/>
          <w:sz w:val="24"/>
          <w:szCs w:val="24"/>
          <w:lang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 за счет включения в вирусную ДНК обратной транскриптазой </w:t>
      </w:r>
      <w:r w:rsidR="00E0512E" w:rsidRPr="004557E8">
        <w:rPr>
          <w:rFonts w:ascii="Times New Roman" w:hAnsi="Times New Roman"/>
          <w:sz w:val="24"/>
          <w:szCs w:val="24"/>
          <w:lang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bidi="ru-RU"/>
        </w:rPr>
        <w:t>, что приводит к обрыву цепи ДНК.</w:t>
      </w:r>
    </w:p>
    <w:p w14:paraId="37E80611" w14:textId="77777777" w:rsidR="00177F5A" w:rsidRPr="004557E8" w:rsidRDefault="00177F5A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r w:rsidR="00E0512E" w:rsidRPr="004557E8">
        <w:rPr>
          <w:rFonts w:ascii="Times New Roman" w:hAnsi="Times New Roman"/>
          <w:sz w:val="24"/>
          <w:szCs w:val="24"/>
          <w:lang w:bidi="ru-RU"/>
        </w:rPr>
        <w:t>а</w:t>
      </w:r>
      <w:proofErr w:type="spellEnd"/>
      <w:r w:rsidR="00E0512E"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="00E0512E"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обладает активностью, специфичной в отношении вируса гепатита В и вируса иммунодефицита человека (ВИЧ-1 и ВИЧ-2).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Дифосфат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является слабым ингибитором ДНК-полимераз млекопитающих, включая митохондриальную ДНК-полимеразу γ, и нет никаких доказательств митохондриальной токсичности </w:t>
      </w:r>
      <w:proofErr w:type="spellStart"/>
      <w:r w:rsidRPr="004557E8">
        <w:rPr>
          <w:rFonts w:ascii="Times New Roman" w:hAnsi="Times New Roman"/>
          <w:i/>
          <w:sz w:val="24"/>
          <w:szCs w:val="24"/>
          <w:lang w:bidi="ru-RU"/>
        </w:rPr>
        <w:t>in</w:t>
      </w:r>
      <w:proofErr w:type="spellEnd"/>
      <w:r w:rsidRPr="004557E8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i/>
          <w:sz w:val="24"/>
          <w:szCs w:val="24"/>
          <w:lang w:bidi="ru-RU"/>
        </w:rPr>
        <w:t>vitro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>, основанных на нескольких анализах, включая анализы митохондриальной ДНК.</w:t>
      </w:r>
    </w:p>
    <w:p w14:paraId="5B3D9E47" w14:textId="77777777" w:rsidR="00177F5A" w:rsidRPr="004557E8" w:rsidRDefault="00177F5A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4557E8">
        <w:rPr>
          <w:rFonts w:ascii="Times New Roman" w:hAnsi="Times New Roman"/>
          <w:i/>
          <w:sz w:val="24"/>
          <w:szCs w:val="24"/>
          <w:lang w:bidi="ru-RU"/>
        </w:rPr>
        <w:t>Противовирусная активность</w:t>
      </w:r>
    </w:p>
    <w:p w14:paraId="65EDFD68" w14:textId="77777777" w:rsidR="00177F5A" w:rsidRPr="004557E8" w:rsidRDefault="00177F5A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557E8">
        <w:rPr>
          <w:rFonts w:ascii="Times New Roman" w:hAnsi="Times New Roman"/>
          <w:sz w:val="24"/>
          <w:szCs w:val="24"/>
          <w:lang w:bidi="ru-RU"/>
        </w:rPr>
        <w:t xml:space="preserve">Противовирусную активность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оценивали в клетках HepG2 по сравнению с панелью клинических изолятов </w:t>
      </w:r>
      <w:r w:rsidR="00E0512E" w:rsidRPr="004557E8">
        <w:rPr>
          <w:rFonts w:ascii="Times New Roman" w:hAnsi="Times New Roman"/>
          <w:sz w:val="24"/>
          <w:szCs w:val="24"/>
          <w:lang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bidi="ru-RU"/>
        </w:rPr>
        <w:t>, представляющих генотипы A-H. Значения ЕС</w:t>
      </w:r>
      <w:r w:rsidRPr="004557E8">
        <w:rPr>
          <w:rFonts w:ascii="Times New Roman" w:hAnsi="Times New Roman"/>
          <w:sz w:val="24"/>
          <w:szCs w:val="24"/>
          <w:vertAlign w:val="subscript"/>
          <w:lang w:bidi="ru-RU"/>
        </w:rPr>
        <w:t>50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 (эффективная концентрация 50%) для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варьировались от 34,7 до 134,4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нМ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, при общем среднем значении ЕС50 86,6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нМ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>. CC</w:t>
      </w:r>
      <w:r w:rsidRPr="004557E8">
        <w:rPr>
          <w:rFonts w:ascii="Times New Roman" w:hAnsi="Times New Roman"/>
          <w:sz w:val="24"/>
          <w:szCs w:val="24"/>
          <w:vertAlign w:val="subscript"/>
          <w:lang w:bidi="ru-RU"/>
        </w:rPr>
        <w:t>50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 (концентрация цитотоксичности 5</w:t>
      </w:r>
      <w:r w:rsidR="00546519" w:rsidRPr="004557E8">
        <w:rPr>
          <w:rFonts w:ascii="Times New Roman" w:hAnsi="Times New Roman"/>
          <w:sz w:val="24"/>
          <w:szCs w:val="24"/>
          <w:lang w:bidi="ru-RU"/>
        </w:rPr>
        <w:t>0%) в клетках HepG2 составляла &gt;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44 400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нМ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>.</w:t>
      </w:r>
    </w:p>
    <w:p w14:paraId="761F6308" w14:textId="77777777" w:rsidR="00114545" w:rsidRPr="004557E8" w:rsidRDefault="0011454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i/>
          <w:sz w:val="24"/>
          <w:szCs w:val="24"/>
          <w:lang w:val="kk-KZ" w:bidi="ru-RU"/>
        </w:rPr>
        <w:t>Резистентность</w:t>
      </w:r>
    </w:p>
    <w:p w14:paraId="2D272B75" w14:textId="77777777" w:rsidR="00114545" w:rsidRPr="004557E8" w:rsidRDefault="0011454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>У пациентов, получавших тенофовир алафенамид, анализ последовательности проводился на парных исходных и получающих лечение изолятах HBV для пациентов, у которых был вирусологический прорыв (2 последо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>вательных посещения с ДНК HBV ≥</w:t>
      </w:r>
      <w:r w:rsidR="00275EFA" w:rsidRPr="004557E8">
        <w:rPr>
          <w:rFonts w:ascii="Times New Roman" w:hAnsi="Times New Roman"/>
          <w:sz w:val="24"/>
          <w:szCs w:val="24"/>
          <w:lang w:val="kk-KZ" w:bidi="ru-RU"/>
        </w:rPr>
        <w:t>69 МЕ/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мл пос</w:t>
      </w:r>
      <w:r w:rsidR="00275EFA" w:rsidRPr="004557E8">
        <w:rPr>
          <w:rFonts w:ascii="Times New Roman" w:hAnsi="Times New Roman"/>
          <w:sz w:val="24"/>
          <w:szCs w:val="24"/>
          <w:lang w:val="kk-KZ" w:bidi="ru-RU"/>
        </w:rPr>
        <w:t>ле того, как было &lt;69 МЕ/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мл, или 1,0 log</w:t>
      </w:r>
      <w:r w:rsidRPr="004557E8">
        <w:rPr>
          <w:rFonts w:ascii="Times New Roman" w:hAnsi="Times New Roman"/>
          <w:sz w:val="24"/>
          <w:szCs w:val="24"/>
          <w:vertAlign w:val="subscript"/>
          <w:lang w:val="kk-KZ" w:bidi="ru-RU"/>
        </w:rPr>
        <w:t>10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или большее увеличение ДНК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из надира) или пациентов с ДНК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 xml:space="preserve"> ≥69 МЕ/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мл на 48-й или 96-й неделе, или при раннем прекращении приема на 24-й неделе или позже.</w:t>
      </w:r>
    </w:p>
    <w:p w14:paraId="52BB0397" w14:textId="77777777" w:rsidR="00CA226D" w:rsidRPr="004557E8" w:rsidRDefault="0011454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В общем анализе пациентов, получавших тенофовир алафенамид в исследовании </w:t>
      </w:r>
      <w:r w:rsidRPr="004557E8">
        <w:rPr>
          <w:rFonts w:ascii="Times New Roman" w:hAnsi="Times New Roman"/>
          <w:i/>
          <w:sz w:val="24"/>
          <w:szCs w:val="24"/>
          <w:lang w:val="kk-KZ" w:bidi="ru-RU"/>
        </w:rPr>
        <w:t>108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и исследовании </w:t>
      </w:r>
      <w:r w:rsidRPr="004557E8">
        <w:rPr>
          <w:rFonts w:ascii="Times New Roman" w:hAnsi="Times New Roman"/>
          <w:i/>
          <w:sz w:val="24"/>
          <w:szCs w:val="24"/>
          <w:lang w:val="kk-KZ" w:bidi="ru-RU"/>
        </w:rPr>
        <w:t>110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 xml:space="preserve"> на 48 неделе (N=20) и 96 неделе (N=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72), в этих изолятах не было выявлено аминокислотных замен, связанных с устойчивостью к тенофовира алафенамиду (генотипические и фенотипические анализы).</w:t>
      </w:r>
    </w:p>
    <w:p w14:paraId="6B859AC2" w14:textId="77777777" w:rsidR="00CA226D" w:rsidRPr="004557E8" w:rsidRDefault="00CA226D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>У пациентов с вирусологической супрессией, получавших тенофовир алафенамид после перехода с терапии тенофовира дизопроксила в исследовании 4018, через 96 недель лечения тенофовир алафенамид</w:t>
      </w:r>
      <w:r w:rsidR="0008196F" w:rsidRPr="004557E8">
        <w:rPr>
          <w:rFonts w:ascii="Times New Roman" w:hAnsi="Times New Roman"/>
          <w:sz w:val="24"/>
          <w:szCs w:val="24"/>
          <w:lang w:val="kk-KZ" w:bidi="ru-RU"/>
        </w:rPr>
        <w:t>ом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у одного пациента в группе тенофовир 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lastRenderedPageBreak/>
        <w:t>алафенамид-тенофовир алафенамид произошел вирусологический всплеск (од</w:t>
      </w:r>
      <w:r w:rsidR="0008196F" w:rsidRPr="004557E8">
        <w:rPr>
          <w:rFonts w:ascii="Times New Roman" w:hAnsi="Times New Roman"/>
          <w:sz w:val="24"/>
          <w:szCs w:val="24"/>
          <w:lang w:val="kk-KZ" w:bidi="ru-RU"/>
        </w:rPr>
        <w:t>ин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</w:t>
      </w:r>
      <w:r w:rsidR="0008196F" w:rsidRPr="004557E8">
        <w:rPr>
          <w:rFonts w:ascii="Times New Roman" w:hAnsi="Times New Roman"/>
          <w:sz w:val="24"/>
          <w:szCs w:val="24"/>
          <w:lang w:val="kk-KZ" w:bidi="ru-RU"/>
        </w:rPr>
        <w:t>случай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с ДНК ВГВ ≥ 69 МЕ/мл) и у одного пациента в группе тенофовир дизопроксил-тенофовир алафенамид </w:t>
      </w:r>
      <w:r w:rsidR="0008196F" w:rsidRPr="004557E8">
        <w:rPr>
          <w:rFonts w:ascii="Times New Roman" w:hAnsi="Times New Roman"/>
          <w:sz w:val="24"/>
          <w:szCs w:val="24"/>
          <w:lang w:val="kk-KZ" w:bidi="ru-RU"/>
        </w:rPr>
        <w:t>имел место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вирусологический прорыв. За 96 недель лечения не было обнаружено аминокислотных замен </w:t>
      </w:r>
      <w:r w:rsidR="0008196F" w:rsidRPr="004557E8">
        <w:rPr>
          <w:rFonts w:ascii="Times New Roman" w:hAnsi="Times New Roman"/>
          <w:sz w:val="24"/>
          <w:szCs w:val="24"/>
          <w:lang w:val="kk-KZ" w:bidi="ru-RU"/>
        </w:rPr>
        <w:t>ВГВ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, связанных с устойчивостью к тенофовиру алафенамиду или тенофовиру дизопроксилу.</w:t>
      </w:r>
    </w:p>
    <w:p w14:paraId="7F8EFBAF" w14:textId="77777777" w:rsidR="00C26C26" w:rsidRPr="004557E8" w:rsidRDefault="00C26C26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>В педиатрическом исследовании 1092 30 пациентов в возрасте от 12 до &lt; 18 лет и 9 пациентов в возрасте от 6 до &lt; 12 лет, получавших тенофовир алафенамид, были квалифицированы для анализа резистентности на 24-й неделе. Никаких аминокислотных замен ВГВ, связанных с резистентностью к тенофовиру алафенамиду, не было обнаружено в течение 24 недель лечения. На 48-й неделе 31 пациент в возрасте от 12 до &lt; 18 лет и 12 пациентов в возрасте от 6 до &lt; 12 лет были квалифицированы для проведения анализа резистентности (как группа тенофовира алафенамида, так и группа плацебо переходят на группу тенофовира алафенамида на 24 неделе).</w:t>
      </w:r>
      <w:r w:rsidR="00C958D8" w:rsidRPr="004557E8">
        <w:rPr>
          <w:rFonts w:ascii="Times New Roman" w:hAnsi="Times New Roman"/>
          <w:sz w:val="24"/>
          <w:szCs w:val="24"/>
          <w:lang w:val="kk-KZ" w:bidi="ru-RU"/>
        </w:rPr>
        <w:t xml:space="preserve"> 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Никаких аминокислотных замен </w:t>
      </w:r>
      <w:r w:rsidR="00C958D8" w:rsidRPr="004557E8">
        <w:rPr>
          <w:rFonts w:ascii="Times New Roman" w:hAnsi="Times New Roman"/>
          <w:sz w:val="24"/>
          <w:szCs w:val="24"/>
          <w:lang w:val="kk-KZ" w:bidi="ru-RU"/>
        </w:rPr>
        <w:t>ВГВ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, связанных с устойчивостью к тенофовиру алафенамиду, не было обнаружено в течение 48 недель лечения.</w:t>
      </w:r>
    </w:p>
    <w:p w14:paraId="2B5A687A" w14:textId="77777777" w:rsidR="00114545" w:rsidRPr="004557E8" w:rsidRDefault="0011454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i/>
          <w:sz w:val="24"/>
          <w:szCs w:val="24"/>
          <w:lang w:val="kk-KZ" w:bidi="ru-RU"/>
        </w:rPr>
        <w:t>Перекрестная резистентность</w:t>
      </w:r>
    </w:p>
    <w:p w14:paraId="4666EC8F" w14:textId="77777777" w:rsidR="00114545" w:rsidRPr="004557E8" w:rsidRDefault="0011454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>Противовирусную активность тенофовира алафенамида оценивали на панели изолятов, содержащих нуклеоз</w:t>
      </w:r>
      <w:r w:rsidR="0008196F" w:rsidRPr="004557E8">
        <w:rPr>
          <w:rFonts w:ascii="Times New Roman" w:hAnsi="Times New Roman"/>
          <w:sz w:val="24"/>
          <w:szCs w:val="24"/>
          <w:lang w:val="kk-KZ" w:bidi="ru-RU"/>
        </w:rPr>
        <w:t>(т)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идные мутации ингибитора обратной транскриптазы в клетках HepG2. Изоляты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, экспрессирующие заме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>ны rtV173L, rtL180M и rtM204V/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I, связанные с устойчивостью к ламивудину, оставались чувствительными к тенофовира алафенамиду (&lt;2-кратное изменение ЕС</w:t>
      </w:r>
      <w:r w:rsidRPr="004557E8">
        <w:rPr>
          <w:rFonts w:ascii="Times New Roman" w:hAnsi="Times New Roman"/>
          <w:sz w:val="24"/>
          <w:szCs w:val="24"/>
          <w:vertAlign w:val="subscript"/>
          <w:lang w:val="kk-KZ" w:bidi="ru-RU"/>
        </w:rPr>
        <w:t>50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). Изоляты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, экспрессирующие замены rtL180M, rtM204V плюс rtT184G, rtS202G или rtM250V, связанные с устойчивостью к энтекавиру, оставались чувствительными к тенофовира алафенамиду. Изоляты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, экспрессирующие единичные замены rtA181T, rtA181V или rtN236T, связанные с устойчивостью к адефовиру, оставались чувствительными к тенофовира алафенамиду; однако изолят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, экспрессирующий rtA181V плюс rtN236T, проявлял пониженную чувствительность к тенофовира алафенамиду (изменение ЕС</w:t>
      </w:r>
      <w:r w:rsidRPr="004557E8">
        <w:rPr>
          <w:rFonts w:ascii="Times New Roman" w:hAnsi="Times New Roman"/>
          <w:sz w:val="24"/>
          <w:szCs w:val="24"/>
          <w:vertAlign w:val="subscript"/>
          <w:lang w:val="kk-KZ" w:bidi="ru-RU"/>
        </w:rPr>
        <w:t>50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в 3,7 раза). Клиническая значимость этих замен неизвестна.</w:t>
      </w:r>
    </w:p>
    <w:p w14:paraId="758DF46D" w14:textId="77777777" w:rsidR="00114545" w:rsidRPr="004557E8" w:rsidRDefault="0011454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i/>
          <w:sz w:val="24"/>
          <w:szCs w:val="24"/>
          <w:lang w:val="kk-KZ" w:bidi="ru-RU"/>
        </w:rPr>
        <w:t>Клинические данные</w:t>
      </w:r>
    </w:p>
    <w:p w14:paraId="61E6E891" w14:textId="77777777" w:rsidR="00114545" w:rsidRPr="004557E8" w:rsidRDefault="0011454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>Эффективность и безопасность тенофовира алафенамида у пациентов с хроническим гепатитом B основана на данных за 48 и 96 недель двух рандомизированных двойных слепых исследований с активным контролем, исследования 108 и исследования 110. Безопасность тенофовира алафенамида также поддерживается по объединенным данным пациентов в исследованиях 108 и 110, которые продолжали получать слепое лечение с 96 по 144 недели и дополнительно от пациентов в открытой фазе исследований 10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>8 и 110 с 96 по 144 неделю (N=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360 продолжали приним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>ать тенофовир алафенамид; N=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180 перешли с тенофовира дизопроксила на тенофовир алафенамид на 96 неделе).</w:t>
      </w:r>
    </w:p>
    <w:p w14:paraId="7274DCF6" w14:textId="77777777" w:rsidR="009F6BA3" w:rsidRPr="004557E8" w:rsidRDefault="00A9409D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В </w:t>
      </w:r>
      <w:r w:rsidRPr="004557E8">
        <w:rPr>
          <w:rFonts w:ascii="Times New Roman" w:hAnsi="Times New Roman"/>
          <w:i/>
          <w:iCs/>
          <w:sz w:val="24"/>
          <w:szCs w:val="24"/>
          <w:lang w:val="kk-KZ" w:bidi="ru-RU"/>
        </w:rPr>
        <w:t>исследовании 108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HBeAg-отрицательные пациенты с компенсированной функцией печени и ранее не получавшие лечения были рандомизированы в соотношении 2:1 для приема тен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>офовира алафенамида (25 мг; N=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285) один раз в сутки или тенофовира дизопроксила (245 мг;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 xml:space="preserve"> N=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140) один раз в день. Средний возраст составлял 46 лет, 61% были мужчинами, 72% были азиатами, 25% были </w:t>
      </w:r>
      <w:bookmarkStart w:id="14" w:name="_Hlk173161976"/>
      <w:r w:rsidRPr="004557E8">
        <w:rPr>
          <w:rFonts w:ascii="Times New Roman" w:hAnsi="Times New Roman"/>
          <w:sz w:val="24"/>
          <w:szCs w:val="24"/>
          <w:lang w:val="kk-KZ" w:bidi="ru-RU"/>
        </w:rPr>
        <w:t>европиодной расы и 2% (8 человек) были негроидной расы.</w:t>
      </w:r>
      <w:bookmarkEnd w:id="14"/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24%, 38% и 31% имели</w:t>
      </w:r>
      <w:r w:rsidR="00EB6CF7" w:rsidRPr="004557E8">
        <w:rPr>
          <w:rFonts w:ascii="Times New Roman" w:hAnsi="Times New Roman"/>
          <w:sz w:val="24"/>
          <w:szCs w:val="24"/>
          <w:lang w:val="kk-KZ" w:bidi="ru-RU"/>
        </w:rPr>
        <w:t xml:space="preserve"> генотип B, C и D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</w:t>
      </w:r>
      <w:r w:rsidR="00E0512E" w:rsidRPr="004557E8">
        <w:rPr>
          <w:rFonts w:ascii="Times New Roman" w:hAnsi="Times New Roman"/>
          <w:sz w:val="24"/>
          <w:szCs w:val="24"/>
          <w:lang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соответственно. 21% проходили лечение (предыдущее лечение пероральными противовирусными преп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>аратами, включая энтекавир (N=41), ламивудин (N=42), тенофовир дизопроксил (N=21) или другие препараты (N=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18)). Исходно средняя ДНК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в плазме составляла 5,8 log</w:t>
      </w:r>
      <w:r w:rsidRPr="004557E8">
        <w:rPr>
          <w:rFonts w:ascii="Times New Roman" w:hAnsi="Times New Roman"/>
          <w:sz w:val="24"/>
          <w:szCs w:val="24"/>
          <w:vertAlign w:val="subscript"/>
          <w:lang w:val="kk-KZ" w:bidi="ru-RU"/>
        </w:rPr>
        <w:t>10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МЕ/мл, средняя сывороточная АЛТ составляла 94 Ед/л, а у 9% пациентов в анамнезе был цирроз</w:t>
      </w:r>
      <w:r w:rsidR="00EB6CF7" w:rsidRPr="004557E8">
        <w:rPr>
          <w:rFonts w:ascii="Times New Roman" w:hAnsi="Times New Roman"/>
          <w:sz w:val="24"/>
          <w:szCs w:val="24"/>
          <w:lang w:val="kk-KZ" w:bidi="ru-RU"/>
        </w:rPr>
        <w:t xml:space="preserve"> печени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.</w:t>
      </w:r>
    </w:p>
    <w:p w14:paraId="084DC4DA" w14:textId="77777777" w:rsidR="00674992" w:rsidRPr="004557E8" w:rsidRDefault="00674992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В </w:t>
      </w:r>
      <w:r w:rsidRPr="004557E8">
        <w:rPr>
          <w:rFonts w:ascii="Times New Roman" w:hAnsi="Times New Roman"/>
          <w:i/>
          <w:iCs/>
          <w:sz w:val="24"/>
          <w:szCs w:val="24"/>
          <w:lang w:val="kk-KZ" w:bidi="ru-RU"/>
        </w:rPr>
        <w:t>исследовании 110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HBeAg-положительные пациенты с компенсаторной функцией печени, ранее не получавшие лечения и получавшие лечение, были рандомизированы в 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lastRenderedPageBreak/>
        <w:t xml:space="preserve">соотношении 2:1 для приема тенофовира алафенамида (25 мг; N = 581) один раз в день или тенофовира дизопроксила (245 мг; N = 292) один раз в день. Средний возраст составил 38 лет, 64% мужчин, 82% азиатов, 17% </w:t>
      </w:r>
      <w:r w:rsidR="00407DD8" w:rsidRPr="004557E8">
        <w:rPr>
          <w:rFonts w:ascii="Times New Roman" w:hAnsi="Times New Roman"/>
          <w:sz w:val="24"/>
          <w:szCs w:val="24"/>
          <w:lang w:val="kk-KZ" w:bidi="ru-RU"/>
        </w:rPr>
        <w:t xml:space="preserve">европиодной расы 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и &lt;1% (5 пациентов) </w:t>
      </w:r>
      <w:r w:rsidR="00407DD8" w:rsidRPr="004557E8">
        <w:rPr>
          <w:rFonts w:ascii="Times New Roman" w:hAnsi="Times New Roman"/>
          <w:sz w:val="24"/>
          <w:szCs w:val="24"/>
          <w:lang w:val="kk-KZ" w:bidi="ru-RU"/>
        </w:rPr>
        <w:t>негроидной расы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. 17%, 52% и 23% имели генотипы В, С и D соответственно. 26% имели опыт лечения (предыдущее лечение пероральными противовирусными препаратами, включая адефовир (N = 42), энтекавир (N = 117), ламивудин (N = 84), телбивудин (N = 25), тенофовир дизопроксил (N = 70), или др (N = 17)). На исходном уровне средний уровень ДНК ВГВ в плазме составлял 7,6 log</w:t>
      </w:r>
      <w:r w:rsidRPr="004557E8">
        <w:rPr>
          <w:rFonts w:ascii="Times New Roman" w:hAnsi="Times New Roman"/>
          <w:sz w:val="24"/>
          <w:szCs w:val="24"/>
          <w:vertAlign w:val="subscript"/>
          <w:lang w:val="kk-KZ" w:bidi="ru-RU"/>
        </w:rPr>
        <w:t>10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МЕ/мл, средний уровень АЛТ в сыворотке составлял 120 ЕД/л, и у 7% пациентов в анамнезе был цирроз печени.</w:t>
      </w:r>
    </w:p>
    <w:p w14:paraId="2A859FDC" w14:textId="77777777" w:rsidR="00A9409D" w:rsidRPr="004557E8" w:rsidRDefault="00A9409D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Первичной конечной точкой эффективности в обоих исследованиях была доля пациентов с уровнями ДНК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в плазме ниже 29 МЕ/мл на 48 неделе. Тенофовир алафенамид отвечал критериям не меньшей эффективности в достижении уровня ДНК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менее 29 МЕ/мл по сравнению с тенофовиром дизопроксилом. Результаты лечения исследования 108 и исследования 110 до </w:t>
      </w:r>
      <w:r w:rsidR="00141AD8" w:rsidRPr="004557E8">
        <w:rPr>
          <w:rFonts w:ascii="Times New Roman" w:hAnsi="Times New Roman"/>
          <w:sz w:val="24"/>
          <w:szCs w:val="24"/>
          <w:lang w:bidi="ru-RU"/>
        </w:rPr>
        <w:t xml:space="preserve">48 </w:t>
      </w:r>
      <w:r w:rsidR="00546519" w:rsidRPr="004557E8">
        <w:rPr>
          <w:rFonts w:ascii="Times New Roman" w:hAnsi="Times New Roman"/>
          <w:sz w:val="24"/>
          <w:szCs w:val="24"/>
          <w:lang w:val="kk-KZ" w:bidi="ru-RU"/>
        </w:rPr>
        <w:t xml:space="preserve">недели 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>представлены в таблице 3 и таблице 4.</w:t>
      </w:r>
    </w:p>
    <w:p w14:paraId="63528B65" w14:textId="77777777" w:rsidR="00546519" w:rsidRPr="004557E8" w:rsidRDefault="0054651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</w:p>
    <w:p w14:paraId="70BA7EAD" w14:textId="77777777" w:rsidR="00EB6E09" w:rsidRPr="004557E8" w:rsidRDefault="00EB6E0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Таблица 3: Параметры эффективности ДНК </w:t>
      </w:r>
      <w:r w:rsidR="00E0512E" w:rsidRPr="004557E8">
        <w:rPr>
          <w:rFonts w:ascii="Times New Roman" w:hAnsi="Times New Roman"/>
          <w:sz w:val="24"/>
          <w:szCs w:val="24"/>
          <w:lang w:val="kk-KZ" w:bidi="ru-RU"/>
        </w:rPr>
        <w:t>вируса гепатита В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на 48</w:t>
      </w:r>
      <w:r w:rsidRPr="004557E8">
        <w:rPr>
          <w:rFonts w:ascii="Times New Roman" w:hAnsi="Times New Roman"/>
          <w:sz w:val="24"/>
          <w:szCs w:val="24"/>
          <w:vertAlign w:val="superscript"/>
          <w:lang w:val="kk-KZ" w:bidi="ru-RU"/>
        </w:rPr>
        <w:t>а</w:t>
      </w:r>
      <w:r w:rsidRPr="004557E8">
        <w:rPr>
          <w:rFonts w:ascii="Times New Roman" w:hAnsi="Times New Roman"/>
          <w:sz w:val="24"/>
          <w:szCs w:val="24"/>
          <w:lang w:val="kk-KZ" w:bidi="ru-RU"/>
        </w:rPr>
        <w:t xml:space="preserve"> неделе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418"/>
        <w:gridCol w:w="1417"/>
      </w:tblGrid>
      <w:tr w:rsidR="00734B83" w:rsidRPr="004557E8" w14:paraId="3BAA3661" w14:textId="77777777" w:rsidTr="00AC6ADE">
        <w:tc>
          <w:tcPr>
            <w:tcW w:w="3402" w:type="dxa"/>
            <w:shd w:val="clear" w:color="auto" w:fill="auto"/>
            <w:vAlign w:val="center"/>
          </w:tcPr>
          <w:p w14:paraId="3D9A9CA6" w14:textId="77777777" w:rsidR="00734B83" w:rsidRPr="004557E8" w:rsidRDefault="00734B83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F78520F" w14:textId="77777777" w:rsidR="00734B83" w:rsidRPr="004557E8" w:rsidRDefault="00734B8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Исследование 108 (HBeAg- отрицательный)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5F10DC5" w14:textId="77777777" w:rsidR="00734B8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Исследование 110 (HBeAg-положительный)</w:t>
            </w:r>
          </w:p>
        </w:tc>
      </w:tr>
      <w:tr w:rsidR="00AC6ADE" w:rsidRPr="004557E8" w14:paraId="5A1E6B17" w14:textId="77777777" w:rsidTr="00AC6ADE">
        <w:tc>
          <w:tcPr>
            <w:tcW w:w="3402" w:type="dxa"/>
            <w:shd w:val="clear" w:color="auto" w:fill="auto"/>
            <w:vAlign w:val="center"/>
          </w:tcPr>
          <w:p w14:paraId="0BF4EBCD" w14:textId="77777777" w:rsidR="00EB6E09" w:rsidRPr="004557E8" w:rsidRDefault="00EB6E09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06D2AA" w14:textId="77777777" w:rsidR="00EB6E09" w:rsidRPr="004557E8" w:rsidRDefault="00080B38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ТАФ</w:t>
            </w:r>
            <w:r w:rsidR="00546519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(N=</w:t>
            </w:r>
            <w:r w:rsidR="00734B83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285)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CB0A0" w14:textId="77777777" w:rsidR="00EB6E09" w:rsidRPr="004557E8" w:rsidRDefault="00080B38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ТДФ</w:t>
            </w:r>
            <w:r w:rsidR="00546519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(N=</w:t>
            </w:r>
            <w:r w:rsidR="00734B83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140)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A0E768" w14:textId="77777777" w:rsidR="00EB6E09" w:rsidRPr="004557E8" w:rsidRDefault="00080B38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ТАФ</w:t>
            </w:r>
            <w:r w:rsidR="00546519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(N=</w:t>
            </w:r>
            <w:r w:rsidR="00734B83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581)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DA4F3C" w14:textId="77777777" w:rsidR="00EB6E09" w:rsidRPr="004557E8" w:rsidRDefault="00080B38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ТДФ</w:t>
            </w:r>
            <w:r w:rsidR="00546519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(N=</w:t>
            </w:r>
            <w:r w:rsidR="00734B83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292)</w:t>
            </w:r>
          </w:p>
        </w:tc>
      </w:tr>
      <w:tr w:rsidR="00AC6ADE" w:rsidRPr="004557E8" w14:paraId="4B07C0E1" w14:textId="77777777" w:rsidTr="00AC6ADE">
        <w:tc>
          <w:tcPr>
            <w:tcW w:w="3402" w:type="dxa"/>
            <w:shd w:val="clear" w:color="auto" w:fill="auto"/>
            <w:vAlign w:val="center"/>
          </w:tcPr>
          <w:p w14:paraId="5BFF3755" w14:textId="77777777" w:rsidR="00EB6E09" w:rsidRPr="004557E8" w:rsidRDefault="003335BB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Уровень ДНК вируса гепатита В менее 29 единиц интегрирования на мл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FA99E2" w14:textId="77777777" w:rsidR="00EB6E09" w:rsidRPr="004557E8" w:rsidRDefault="00734B8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94%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E636B" w14:textId="77777777" w:rsidR="00EB6E09" w:rsidRPr="004557E8" w:rsidRDefault="00734B8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93%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8E46E" w14:textId="77777777" w:rsidR="00EB6E09" w:rsidRPr="004557E8" w:rsidRDefault="00734B8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64%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0FFA72" w14:textId="77777777" w:rsidR="00EB6E09" w:rsidRPr="004557E8" w:rsidRDefault="00734B8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67%</w:t>
            </w:r>
          </w:p>
        </w:tc>
      </w:tr>
      <w:tr w:rsidR="004C6C03" w:rsidRPr="004557E8" w14:paraId="3FE606EB" w14:textId="77777777" w:rsidTr="00AC6ADE">
        <w:tc>
          <w:tcPr>
            <w:tcW w:w="3402" w:type="dxa"/>
            <w:shd w:val="clear" w:color="auto" w:fill="auto"/>
            <w:vAlign w:val="center"/>
          </w:tcPr>
          <w:p w14:paraId="037F4CF0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Разница в лечении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B73475" w14:textId="77777777" w:rsidR="004C6C03" w:rsidRPr="004557E8" w:rsidRDefault="00546519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1.8% (95% CI=</w:t>
            </w:r>
            <w:r w:rsidR="004C6C03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-3.6% 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до</w:t>
            </w:r>
            <w:r w:rsidR="004C6C03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7.2%)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06438DC" w14:textId="77777777" w:rsidR="004C6C03" w:rsidRPr="004557E8" w:rsidRDefault="00546519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-3.6% (95% CI</w:t>
            </w:r>
            <w:r w:rsidR="004C6C03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= -9.8% 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до</w:t>
            </w:r>
            <w:r w:rsidR="004C6C03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2.6%)</w:t>
            </w:r>
          </w:p>
        </w:tc>
      </w:tr>
      <w:tr w:rsidR="00AC6ADE" w:rsidRPr="004557E8" w14:paraId="70DF4434" w14:textId="77777777" w:rsidTr="00AC6ADE">
        <w:tc>
          <w:tcPr>
            <w:tcW w:w="3402" w:type="dxa"/>
            <w:shd w:val="clear" w:color="auto" w:fill="auto"/>
            <w:vAlign w:val="center"/>
          </w:tcPr>
          <w:p w14:paraId="76A44BA5" w14:textId="77777777" w:rsidR="004C6C03" w:rsidRPr="004557E8" w:rsidRDefault="00275EFA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Уровень ДНК вируса гепатита В ≥</w:t>
            </w:r>
            <w:r w:rsidR="003335B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29 единиц интегрирования на мл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6F6D3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2%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67B61F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3%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C2A951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31%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64B2F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30%</w:t>
            </w:r>
          </w:p>
        </w:tc>
      </w:tr>
      <w:tr w:rsidR="00AC6ADE" w:rsidRPr="004557E8" w14:paraId="3577A52B" w14:textId="77777777" w:rsidTr="00AC6ADE">
        <w:tc>
          <w:tcPr>
            <w:tcW w:w="3402" w:type="dxa"/>
            <w:shd w:val="clear" w:color="auto" w:fill="auto"/>
            <w:vAlign w:val="center"/>
          </w:tcPr>
          <w:p w14:paraId="40488217" w14:textId="77777777" w:rsidR="003335BB" w:rsidRPr="004557E8" w:rsidRDefault="003335BB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Базовое значение уровня ДНК вируса гепатита В</w:t>
            </w:r>
          </w:p>
          <w:p w14:paraId="38B3884B" w14:textId="77777777" w:rsidR="003335BB" w:rsidRPr="004557E8" w:rsidRDefault="00AC6ADE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hAnsi="Times New Roman"/>
                <w:sz w:val="24"/>
                <w:szCs w:val="24"/>
                <w:lang w:val="kk-KZ" w:bidi="ru-RU"/>
              </w:rPr>
              <w:t>&lt;</w:t>
            </w:r>
            <w:r w:rsidR="003335B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7 log</w:t>
            </w:r>
            <w:r w:rsidR="003335BB"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  <w:lang w:val="kk-KZ" w:bidi="ru-RU"/>
              </w:rPr>
              <w:t>10</w:t>
            </w:r>
            <w:r w:rsidR="003335B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единиц интегрирования на мл</w:t>
            </w:r>
          </w:p>
          <w:p w14:paraId="5A807A37" w14:textId="77777777" w:rsidR="004C6C03" w:rsidRPr="004557E8" w:rsidRDefault="00546519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≥</w:t>
            </w:r>
            <w:r w:rsidR="003335B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7 log</w:t>
            </w:r>
            <w:r w:rsidR="003335BB"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  <w:lang w:val="kk-KZ" w:bidi="ru-RU"/>
              </w:rPr>
              <w:t>10</w:t>
            </w:r>
            <w:r w:rsidR="003335B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единиц интегрирования на мл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D6913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96% (221/230)</w:t>
            </w:r>
          </w:p>
          <w:p w14:paraId="0214B042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85% (47/55)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A89D9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92% (107/116)</w:t>
            </w:r>
          </w:p>
          <w:p w14:paraId="05473AAE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96% (23/24)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A2DE89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trike/>
                <w:sz w:val="24"/>
                <w:szCs w:val="24"/>
                <w:lang w:val="kk-KZ" w:bidi="ru-RU"/>
              </w:rPr>
            </w:pPr>
          </w:p>
          <w:p w14:paraId="3B3FDF86" w14:textId="77777777" w:rsidR="00AC6ADE" w:rsidRPr="004557E8" w:rsidRDefault="00AC6ADE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EE289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trike/>
                <w:sz w:val="24"/>
                <w:szCs w:val="24"/>
                <w:lang w:val="kk-KZ" w:bidi="ru-RU"/>
              </w:rPr>
            </w:pPr>
          </w:p>
          <w:p w14:paraId="64F566DA" w14:textId="77777777" w:rsidR="004C6C03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</w:tr>
      <w:tr w:rsidR="00AC6ADE" w:rsidRPr="004557E8" w14:paraId="614D4494" w14:textId="77777777" w:rsidTr="00AC6ADE">
        <w:tc>
          <w:tcPr>
            <w:tcW w:w="3402" w:type="dxa"/>
            <w:shd w:val="clear" w:color="auto" w:fill="auto"/>
            <w:vAlign w:val="center"/>
          </w:tcPr>
          <w:p w14:paraId="4A0832A5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Базовое значение уровня ДНК вируса гепатита В</w:t>
            </w:r>
          </w:p>
          <w:p w14:paraId="378BBD7B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hAnsi="Times New Roman"/>
                <w:sz w:val="24"/>
                <w:szCs w:val="24"/>
                <w:lang w:val="kk-KZ" w:bidi="ru-RU"/>
              </w:rPr>
              <w:t>&lt;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8 log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  <w:lang w:val="kk-KZ" w:bidi="ru-RU"/>
              </w:rPr>
              <w:t>10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единиц интегрирования на мл</w:t>
            </w:r>
          </w:p>
          <w:p w14:paraId="06F0F3D9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≥8 log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  <w:lang w:val="kk-KZ" w:bidi="ru-RU"/>
              </w:rPr>
              <w:t xml:space="preserve">10 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единиц интегрирования на мл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78F57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trike/>
                <w:sz w:val="24"/>
                <w:szCs w:val="24"/>
                <w:lang w:val="kk-KZ" w:bidi="ru-RU"/>
              </w:rPr>
            </w:pPr>
          </w:p>
          <w:p w14:paraId="56D2EFB2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425980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trike/>
                <w:sz w:val="24"/>
                <w:szCs w:val="24"/>
                <w:lang w:val="kk-KZ" w:bidi="ru-RU"/>
              </w:rPr>
            </w:pPr>
          </w:p>
          <w:p w14:paraId="0D707B8A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40104F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82% (254/309)</w:t>
            </w:r>
          </w:p>
          <w:p w14:paraId="47BE82DC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43% (117/272)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AF1BCB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82% (123/150)</w:t>
            </w:r>
          </w:p>
          <w:p w14:paraId="42CA2DD6" w14:textId="77777777" w:rsidR="00AC6ADE" w:rsidRPr="004557E8" w:rsidRDefault="00AC6ADE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51% (72/142)</w:t>
            </w:r>
          </w:p>
        </w:tc>
      </w:tr>
      <w:tr w:rsidR="00AC6ADE" w:rsidRPr="004557E8" w14:paraId="65D0A497" w14:textId="77777777" w:rsidTr="00AC6ADE">
        <w:tc>
          <w:tcPr>
            <w:tcW w:w="3402" w:type="dxa"/>
            <w:shd w:val="clear" w:color="auto" w:fill="auto"/>
            <w:vAlign w:val="center"/>
          </w:tcPr>
          <w:p w14:paraId="6C4CD9CC" w14:textId="77777777" w:rsidR="004C6C03" w:rsidRPr="004557E8" w:rsidRDefault="00B17168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Пац</w:t>
            </w:r>
            <w:r w:rsidR="004F65A4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и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енты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, ранее не получавшие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нуклеизоды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с</w:t>
            </w:r>
            <w:proofErr w:type="spellEnd"/>
          </w:p>
          <w:p w14:paraId="5B4C66DC" w14:textId="77777777" w:rsidR="004C6C03" w:rsidRPr="004557E8" w:rsidRDefault="00B17168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Пациенты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, получавшие нуклеозиды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12FA96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94% (212/225)</w:t>
            </w:r>
          </w:p>
          <w:p w14:paraId="7C241F36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93% (56/60)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CE48D7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93% (102/110)</w:t>
            </w:r>
          </w:p>
          <w:p w14:paraId="54CD1B13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93% (28/30)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47FDE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68% (302/444)</w:t>
            </w:r>
          </w:p>
          <w:p w14:paraId="6AFA4AED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50% (69/137)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959CA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70% (156/223)</w:t>
            </w:r>
          </w:p>
          <w:p w14:paraId="2A965F3E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57% (39/69)</w:t>
            </w:r>
          </w:p>
        </w:tc>
      </w:tr>
      <w:tr w:rsidR="00AC6ADE" w:rsidRPr="004557E8" w14:paraId="6A802A9C" w14:textId="77777777" w:rsidTr="00AC6ADE">
        <w:tc>
          <w:tcPr>
            <w:tcW w:w="3402" w:type="dxa"/>
            <w:shd w:val="clear" w:color="auto" w:fill="auto"/>
            <w:vAlign w:val="center"/>
          </w:tcPr>
          <w:p w14:paraId="1047113F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Отсутствие вирусологических данных на 48-й неделе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D4FF1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4%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090EA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4%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E43BF9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DD8690" w14:textId="77777777" w:rsidR="004C6C03" w:rsidRPr="004557E8" w:rsidRDefault="004C6C03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3%</w:t>
            </w:r>
          </w:p>
        </w:tc>
      </w:tr>
      <w:tr w:rsidR="00AC6ADE" w:rsidRPr="004557E8" w14:paraId="1663BFC2" w14:textId="77777777" w:rsidTr="00AC6ADE">
        <w:tc>
          <w:tcPr>
            <w:tcW w:w="3402" w:type="dxa"/>
            <w:shd w:val="clear" w:color="auto" w:fill="auto"/>
            <w:vAlign w:val="center"/>
          </w:tcPr>
          <w:p w14:paraId="51EF9CE1" w14:textId="77777777" w:rsidR="004C6C03" w:rsidRPr="004557E8" w:rsidRDefault="005202B2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Прекращено исследование препарата из-за недостаточной эффективности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24764" w14:textId="77777777" w:rsidR="004C6C03" w:rsidRPr="004557E8" w:rsidRDefault="005202B2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9B780" w14:textId="77777777" w:rsidR="004C6C03" w:rsidRPr="004557E8" w:rsidRDefault="005202B2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E159D4" w14:textId="77777777" w:rsidR="004C6C03" w:rsidRPr="004557E8" w:rsidRDefault="00D2771B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&lt;</w:t>
            </w:r>
            <w:r w:rsidR="005202B2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FF9ED" w14:textId="77777777" w:rsidR="004C6C03" w:rsidRPr="004557E8" w:rsidRDefault="005202B2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0</w:t>
            </w:r>
          </w:p>
        </w:tc>
      </w:tr>
      <w:tr w:rsidR="00AC6ADE" w:rsidRPr="004557E8" w14:paraId="38E57A25" w14:textId="77777777" w:rsidTr="00AC6ADE">
        <w:tc>
          <w:tcPr>
            <w:tcW w:w="3402" w:type="dxa"/>
            <w:shd w:val="clear" w:color="auto" w:fill="auto"/>
            <w:vAlign w:val="center"/>
          </w:tcPr>
          <w:p w14:paraId="0BC033F8" w14:textId="77777777" w:rsidR="00A52B5E" w:rsidRPr="004557E8" w:rsidRDefault="00A52B5E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Прием исследуемого 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lastRenderedPageBreak/>
              <w:t xml:space="preserve">препарата прекращен из-за нежелательного явления 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(НЯ)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или смерти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6774D" w14:textId="77777777" w:rsidR="00A52B5E" w:rsidRPr="004557E8" w:rsidRDefault="00A52B5E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lastRenderedPageBreak/>
              <w:t>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6BA662" w14:textId="77777777" w:rsidR="00A52B5E" w:rsidRPr="004557E8" w:rsidRDefault="00A52B5E" w:rsidP="00EB6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1%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DAB62C" w14:textId="77777777" w:rsidR="00A52B5E" w:rsidRPr="004557E8" w:rsidRDefault="00A52B5E" w:rsidP="00EB6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B9525" w14:textId="77777777" w:rsidR="00A52B5E" w:rsidRPr="004557E8" w:rsidRDefault="00A52B5E" w:rsidP="00EB6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1%</w:t>
            </w:r>
          </w:p>
        </w:tc>
      </w:tr>
      <w:tr w:rsidR="00AC6ADE" w:rsidRPr="004557E8" w14:paraId="779E0C40" w14:textId="77777777" w:rsidTr="00AC6ADE">
        <w:tc>
          <w:tcPr>
            <w:tcW w:w="3402" w:type="dxa"/>
            <w:shd w:val="clear" w:color="auto" w:fill="auto"/>
            <w:vAlign w:val="center"/>
          </w:tcPr>
          <w:p w14:paraId="568B9EC7" w14:textId="77777777" w:rsidR="004C6C03" w:rsidRPr="004557E8" w:rsidRDefault="00A52B5E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Прием исследуемого препарата прекращен по другим причинам</w:t>
            </w:r>
            <w:r w:rsidR="004F65A4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7211E" w14:textId="77777777" w:rsidR="004C6C03" w:rsidRPr="004557E8" w:rsidRDefault="00A52B5E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2%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E5A29" w14:textId="77777777" w:rsidR="00A52B5E" w:rsidRPr="004557E8" w:rsidRDefault="00A52B5E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3%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F59DB3" w14:textId="77777777" w:rsidR="004C6C03" w:rsidRPr="004557E8" w:rsidRDefault="00A52B5E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3%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FCED1" w14:textId="77777777" w:rsidR="004C6C03" w:rsidRPr="004557E8" w:rsidRDefault="00A52B5E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2%</w:t>
            </w:r>
          </w:p>
        </w:tc>
      </w:tr>
      <w:tr w:rsidR="00AC6ADE" w:rsidRPr="004557E8" w14:paraId="331F38C0" w14:textId="77777777" w:rsidTr="00AC6ADE">
        <w:tc>
          <w:tcPr>
            <w:tcW w:w="3402" w:type="dxa"/>
            <w:shd w:val="clear" w:color="auto" w:fill="auto"/>
            <w:vAlign w:val="center"/>
          </w:tcPr>
          <w:p w14:paraId="0548FBC6" w14:textId="77777777" w:rsidR="00EB6E09" w:rsidRPr="004557E8" w:rsidRDefault="006B0C07" w:rsidP="00EB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Отсутствуют данные по лекарственному препарату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F8C9B" w14:textId="77777777" w:rsidR="00EB6E09" w:rsidRPr="004557E8" w:rsidRDefault="006B0C07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&lt;1%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2008F" w14:textId="77777777" w:rsidR="00EB6E09" w:rsidRPr="004557E8" w:rsidRDefault="006B0C07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1%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C3727" w14:textId="77777777" w:rsidR="00EB6E09" w:rsidRPr="004557E8" w:rsidRDefault="006B0C07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&lt;1%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CBEC4" w14:textId="77777777" w:rsidR="00EB6E09" w:rsidRPr="004557E8" w:rsidRDefault="006B0C07" w:rsidP="00EB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0</w:t>
            </w:r>
          </w:p>
        </w:tc>
      </w:tr>
    </w:tbl>
    <w:p w14:paraId="4FD0E588" w14:textId="77777777" w:rsidR="00A9409D" w:rsidRPr="004557E8" w:rsidRDefault="00AC6AD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kk-KZ" w:bidi="ru-RU"/>
        </w:rPr>
      </w:pPr>
      <w:r w:rsidRPr="004557E8">
        <w:rPr>
          <w:rFonts w:ascii="Times New Roman" w:hAnsi="Times New Roman"/>
          <w:sz w:val="20"/>
          <w:szCs w:val="20"/>
          <w:lang w:bidi="ru-RU"/>
        </w:rPr>
        <w:t xml:space="preserve">Н/П </w:t>
      </w:r>
      <w:r w:rsidR="00604AAE" w:rsidRPr="004557E8">
        <w:rPr>
          <w:rFonts w:ascii="Times New Roman" w:hAnsi="Times New Roman"/>
          <w:sz w:val="20"/>
          <w:szCs w:val="20"/>
          <w:lang w:bidi="ru-RU"/>
        </w:rPr>
        <w:t xml:space="preserve">= </w:t>
      </w:r>
      <w:r w:rsidR="00080B38" w:rsidRPr="004557E8">
        <w:rPr>
          <w:rFonts w:ascii="Times New Roman" w:hAnsi="Times New Roman"/>
          <w:sz w:val="20"/>
          <w:szCs w:val="20"/>
          <w:lang w:val="kk-KZ" w:bidi="ru-RU"/>
        </w:rPr>
        <w:t>Не применимо</w:t>
      </w:r>
    </w:p>
    <w:p w14:paraId="1C026CB3" w14:textId="77777777" w:rsidR="00604AAE" w:rsidRPr="004557E8" w:rsidRDefault="004F65A4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kk-KZ" w:bidi="ru-RU"/>
        </w:rPr>
        <w:t>ТДФ</w:t>
      </w:r>
      <w:r w:rsidR="00604AAE" w:rsidRPr="004557E8">
        <w:rPr>
          <w:rFonts w:ascii="Times New Roman" w:hAnsi="Times New Roman"/>
          <w:sz w:val="20"/>
          <w:szCs w:val="20"/>
          <w:lang w:val="kk-KZ" w:bidi="ru-RU"/>
        </w:rPr>
        <w:t xml:space="preserve"> </w:t>
      </w:r>
      <w:r w:rsidR="00604AAE" w:rsidRPr="004557E8">
        <w:rPr>
          <w:rFonts w:ascii="Times New Roman" w:hAnsi="Times New Roman"/>
          <w:sz w:val="20"/>
          <w:szCs w:val="20"/>
          <w:lang w:bidi="ru-RU"/>
        </w:rPr>
        <w:t xml:space="preserve">= </w:t>
      </w:r>
      <w:proofErr w:type="spellStart"/>
      <w:r w:rsidR="00604AAE" w:rsidRPr="004557E8">
        <w:rPr>
          <w:rFonts w:ascii="Times New Roman" w:hAnsi="Times New Roman"/>
          <w:sz w:val="20"/>
          <w:szCs w:val="20"/>
          <w:lang w:bidi="ru-RU"/>
        </w:rPr>
        <w:t>тенофовира</w:t>
      </w:r>
      <w:proofErr w:type="spellEnd"/>
      <w:r w:rsidR="00604AAE"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604AAE" w:rsidRPr="004557E8">
        <w:rPr>
          <w:rFonts w:ascii="Times New Roman" w:hAnsi="Times New Roman"/>
          <w:sz w:val="20"/>
          <w:szCs w:val="20"/>
          <w:lang w:bidi="ru-RU"/>
        </w:rPr>
        <w:t>дизопроксил</w:t>
      </w:r>
      <w:proofErr w:type="spellEnd"/>
      <w:r w:rsidR="00A933D8"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  <w:lang w:bidi="ru-RU"/>
        </w:rPr>
        <w:t>фумарат</w:t>
      </w:r>
      <w:proofErr w:type="spellEnd"/>
    </w:p>
    <w:p w14:paraId="2410BDC9" w14:textId="77777777" w:rsidR="00604AAE" w:rsidRPr="004557E8" w:rsidRDefault="004F65A4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bidi="ru-RU"/>
        </w:rPr>
        <w:t>ТАФ</w:t>
      </w:r>
      <w:r w:rsidR="00604AAE" w:rsidRPr="004557E8">
        <w:rPr>
          <w:rFonts w:ascii="Times New Roman" w:hAnsi="Times New Roman"/>
          <w:sz w:val="20"/>
          <w:szCs w:val="20"/>
          <w:lang w:bidi="ru-RU"/>
        </w:rPr>
        <w:t xml:space="preserve"> = </w:t>
      </w:r>
      <w:proofErr w:type="spellStart"/>
      <w:r w:rsidR="00604AAE" w:rsidRPr="004557E8">
        <w:rPr>
          <w:rFonts w:ascii="Times New Roman" w:hAnsi="Times New Roman"/>
          <w:sz w:val="20"/>
          <w:szCs w:val="20"/>
          <w:lang w:bidi="ru-RU"/>
        </w:rPr>
        <w:t>тенофовира</w:t>
      </w:r>
      <w:proofErr w:type="spellEnd"/>
      <w:r w:rsidR="00604AAE"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604AAE" w:rsidRPr="004557E8">
        <w:rPr>
          <w:rFonts w:ascii="Times New Roman" w:hAnsi="Times New Roman"/>
          <w:sz w:val="20"/>
          <w:szCs w:val="20"/>
          <w:lang w:bidi="ru-RU"/>
        </w:rPr>
        <w:t>алафенамид</w:t>
      </w:r>
      <w:proofErr w:type="spellEnd"/>
      <w:r w:rsidR="00A933D8"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  <w:lang w:bidi="ru-RU"/>
        </w:rPr>
        <w:t>фумарат</w:t>
      </w:r>
      <w:proofErr w:type="spellEnd"/>
    </w:p>
    <w:p w14:paraId="314D88AF" w14:textId="77777777" w:rsidR="00604AAE" w:rsidRPr="004557E8" w:rsidRDefault="00604AA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en-US" w:bidi="ru-RU"/>
        </w:rPr>
        <w:t>a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- </w:t>
      </w:r>
      <w:r w:rsidRPr="004557E8">
        <w:rPr>
          <w:rFonts w:ascii="Times New Roman" w:hAnsi="Times New Roman"/>
          <w:sz w:val="20"/>
          <w:szCs w:val="20"/>
          <w:lang w:val="kk-KZ" w:bidi="ru-RU"/>
        </w:rPr>
        <w:t xml:space="preserve">Отсутствует </w:t>
      </w:r>
      <w:r w:rsidRPr="004557E8">
        <w:rPr>
          <w:rFonts w:ascii="Times New Roman" w:hAnsi="Times New Roman"/>
          <w:sz w:val="20"/>
          <w:szCs w:val="20"/>
          <w:lang w:bidi="ru-RU"/>
        </w:rPr>
        <w:t>= сбой анализов</w:t>
      </w:r>
    </w:p>
    <w:p w14:paraId="0681720D" w14:textId="77777777" w:rsidR="00604AAE" w:rsidRPr="004557E8" w:rsidRDefault="00604AA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en-US" w:bidi="ru-RU"/>
        </w:rPr>
        <w:t>b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B17168" w:rsidRPr="004557E8">
        <w:rPr>
          <w:rFonts w:ascii="Times New Roman" w:hAnsi="Times New Roman"/>
          <w:sz w:val="20"/>
          <w:szCs w:val="20"/>
          <w:lang w:bidi="ru-RU"/>
        </w:rPr>
        <w:t>- Скорректировано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по базовым категориям ДНК </w:t>
      </w:r>
      <w:r w:rsidR="00E0512E" w:rsidRPr="004557E8">
        <w:rPr>
          <w:rFonts w:ascii="Times New Roman" w:hAnsi="Times New Roman"/>
          <w:sz w:val="20"/>
          <w:szCs w:val="20"/>
          <w:lang w:bidi="ru-RU"/>
        </w:rPr>
        <w:t>вируса гепатита В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плазмы крови и статусу перорального противовирусного лечения.</w:t>
      </w:r>
    </w:p>
    <w:p w14:paraId="2F011359" w14:textId="77777777" w:rsidR="00604AAE" w:rsidRPr="004557E8" w:rsidRDefault="00604AA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bidi="ru-RU"/>
        </w:rPr>
        <w:t xml:space="preserve">с - Не проходившие лечение субъекты получали пероральное противовирусное лечение в течение менее 12 недель любым нуклеозидом или нуклеотидным аналогом, включая </w:t>
      </w:r>
      <w:proofErr w:type="spellStart"/>
      <w:r w:rsidRPr="004557E8">
        <w:rPr>
          <w:rFonts w:ascii="Times New Roman" w:hAnsi="Times New Roman"/>
          <w:sz w:val="20"/>
          <w:szCs w:val="20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bidi="ru-RU"/>
        </w:rPr>
        <w:t>дизопроксил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 xml:space="preserve"> или </w:t>
      </w:r>
      <w:proofErr w:type="spellStart"/>
      <w:r w:rsidRPr="004557E8">
        <w:rPr>
          <w:rFonts w:ascii="Times New Roman" w:hAnsi="Times New Roman"/>
          <w:sz w:val="20"/>
          <w:szCs w:val="20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>.</w:t>
      </w:r>
    </w:p>
    <w:p w14:paraId="575000C4" w14:textId="77777777" w:rsidR="000667D2" w:rsidRPr="004557E8" w:rsidRDefault="00604AA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en-US" w:bidi="ru-RU"/>
        </w:rPr>
        <w:t>d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- Включает пациентов, которые прекратили лечение по причинам, не связанным с нежелательным явлением (НЯ), смертью, отсутствием или потерей эффективности, например отозвал согласие, потеря для последующего наблюдения и т. д.</w:t>
      </w:r>
    </w:p>
    <w:p w14:paraId="333A4B53" w14:textId="77777777" w:rsidR="00D2771B" w:rsidRPr="004557E8" w:rsidRDefault="00D2771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</w:p>
    <w:p w14:paraId="5E688D1C" w14:textId="77777777" w:rsidR="000667D2" w:rsidRPr="004557E8" w:rsidRDefault="000667D2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  <w:lang w:val="kk-KZ" w:bidi="ru-RU"/>
        </w:rPr>
      </w:pPr>
      <w:r w:rsidRPr="004557E8">
        <w:rPr>
          <w:rFonts w:ascii="Times New Roman" w:hAnsi="Times New Roman"/>
          <w:b/>
          <w:bCs/>
          <w:sz w:val="24"/>
          <w:szCs w:val="24"/>
          <w:lang w:val="kk-KZ" w:bidi="ru-RU"/>
        </w:rPr>
        <w:t xml:space="preserve">Таблица </w:t>
      </w:r>
      <w:r w:rsidRPr="004557E8">
        <w:rPr>
          <w:rFonts w:ascii="Times New Roman" w:hAnsi="Times New Roman"/>
          <w:b/>
          <w:bCs/>
          <w:sz w:val="24"/>
          <w:szCs w:val="24"/>
          <w:lang w:bidi="ru-RU"/>
        </w:rPr>
        <w:t xml:space="preserve">4: </w:t>
      </w:r>
      <w:r w:rsidRPr="004557E8">
        <w:rPr>
          <w:rFonts w:ascii="Times New Roman" w:hAnsi="Times New Roman"/>
          <w:b/>
          <w:bCs/>
          <w:sz w:val="24"/>
          <w:szCs w:val="24"/>
          <w:lang w:val="kk-KZ" w:bidi="ru-RU"/>
        </w:rPr>
        <w:t>Дополнительные параметры эффективности на неделе 48</w:t>
      </w:r>
      <w:r w:rsidRPr="004557E8">
        <w:rPr>
          <w:rFonts w:ascii="Times New Roman" w:hAnsi="Times New Roman"/>
          <w:b/>
          <w:bCs/>
          <w:sz w:val="24"/>
          <w:szCs w:val="24"/>
          <w:vertAlign w:val="superscript"/>
          <w:lang w:val="kk-KZ" w:bidi="ru-RU"/>
        </w:rPr>
        <w:t>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417"/>
        <w:gridCol w:w="1553"/>
      </w:tblGrid>
      <w:tr w:rsidR="000667D2" w:rsidRPr="004557E8" w14:paraId="1E189D70" w14:textId="77777777" w:rsidTr="00AC6ADE">
        <w:tc>
          <w:tcPr>
            <w:tcW w:w="3119" w:type="dxa"/>
            <w:shd w:val="clear" w:color="auto" w:fill="auto"/>
            <w:vAlign w:val="center"/>
          </w:tcPr>
          <w:p w14:paraId="6BFA62D4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FAE6249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Исследование 108 (HBeAg- отрицательный)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5FFD93B6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Исследование 110 (HBeAg-положительный)</w:t>
            </w:r>
          </w:p>
        </w:tc>
      </w:tr>
      <w:tr w:rsidR="000667D2" w:rsidRPr="004557E8" w14:paraId="1F797483" w14:textId="77777777" w:rsidTr="00AC6ADE">
        <w:tc>
          <w:tcPr>
            <w:tcW w:w="3119" w:type="dxa"/>
            <w:shd w:val="clear" w:color="auto" w:fill="auto"/>
            <w:vAlign w:val="center"/>
          </w:tcPr>
          <w:p w14:paraId="315C8FE1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087B70" w14:textId="77777777" w:rsidR="000667D2" w:rsidRPr="004557E8" w:rsidRDefault="004F65A4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ТАФ </w:t>
            </w:r>
            <w:r w:rsidR="00D2771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(N=</w:t>
            </w:r>
            <w:r w:rsidR="000667D2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285)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744338" w14:textId="77777777" w:rsidR="000667D2" w:rsidRPr="004557E8" w:rsidRDefault="004F65A4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ТДФ</w:t>
            </w:r>
            <w:r w:rsidR="00D2771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(N=</w:t>
            </w:r>
            <w:r w:rsidR="000667D2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140)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3726B" w14:textId="77777777" w:rsidR="000667D2" w:rsidRPr="004557E8" w:rsidRDefault="004F65A4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ТАФ</w:t>
            </w:r>
            <w:r w:rsidR="00D2771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(N=</w:t>
            </w:r>
            <w:r w:rsidR="000667D2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581)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48939C2" w14:textId="77777777" w:rsidR="000667D2" w:rsidRPr="004557E8" w:rsidRDefault="004F65A4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ТДФ</w:t>
            </w:r>
            <w:r w:rsidR="00D2771B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 xml:space="preserve"> (N=</w:t>
            </w:r>
            <w:r w:rsidR="000667D2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292)</w:t>
            </w:r>
          </w:p>
        </w:tc>
      </w:tr>
      <w:tr w:rsidR="000667D2" w:rsidRPr="004557E8" w14:paraId="42947809" w14:textId="77777777" w:rsidTr="00AC6ADE">
        <w:tc>
          <w:tcPr>
            <w:tcW w:w="3119" w:type="dxa"/>
            <w:shd w:val="clear" w:color="auto" w:fill="auto"/>
            <w:vAlign w:val="center"/>
          </w:tcPr>
          <w:p w14:paraId="11777F70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АЛТ</w:t>
            </w:r>
          </w:p>
          <w:p w14:paraId="3060A7DB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Нормализованный АЛТ (Центральная лаборатория)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kk-KZ" w:bidi="ru-RU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1450EF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83%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71822B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75%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B7EF0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72%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A61BCCA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67%</w:t>
            </w:r>
          </w:p>
        </w:tc>
      </w:tr>
      <w:tr w:rsidR="000667D2" w:rsidRPr="004557E8" w14:paraId="017E21E1" w14:textId="77777777" w:rsidTr="00AC6ADE">
        <w:tc>
          <w:tcPr>
            <w:tcW w:w="3119" w:type="dxa"/>
            <w:shd w:val="clear" w:color="auto" w:fill="auto"/>
            <w:vAlign w:val="center"/>
          </w:tcPr>
          <w:p w14:paraId="54CDC543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Нормализованный АЛТ (AASLD)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c</w:t>
            </w:r>
          </w:p>
          <w:p w14:paraId="75158CEE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(Американская ассоциация по изучению заболеваний печени)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C6E63" w14:textId="77777777" w:rsidR="000667D2" w:rsidRPr="004557E8" w:rsidRDefault="000667D2" w:rsidP="00AC6AD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50%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B3A367" w14:textId="77777777" w:rsidR="000667D2" w:rsidRPr="004557E8" w:rsidRDefault="000667D2" w:rsidP="00AC6AD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32%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90A5A6" w14:textId="77777777" w:rsidR="000667D2" w:rsidRPr="004557E8" w:rsidRDefault="000667D2" w:rsidP="00AC6AD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45%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92F9545" w14:textId="77777777" w:rsidR="000667D2" w:rsidRPr="004557E8" w:rsidRDefault="000667D2" w:rsidP="00AC6AD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36%</w:t>
            </w:r>
          </w:p>
        </w:tc>
      </w:tr>
      <w:tr w:rsidR="000667D2" w:rsidRPr="004557E8" w14:paraId="14743930" w14:textId="77777777" w:rsidTr="00AC6ADE">
        <w:tc>
          <w:tcPr>
            <w:tcW w:w="3119" w:type="dxa"/>
            <w:shd w:val="clear" w:color="auto" w:fill="auto"/>
            <w:vAlign w:val="center"/>
          </w:tcPr>
          <w:p w14:paraId="5EE675D9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Серология</w:t>
            </w:r>
          </w:p>
          <w:p w14:paraId="4A44001E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Потеря HB</w:t>
            </w:r>
            <w:r w:rsidR="001667E4"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е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Ag/ сероконверсия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C54EA0" w14:textId="77777777" w:rsidR="000667D2" w:rsidRPr="004557E8" w:rsidRDefault="00D9217C" w:rsidP="00AC6AD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660DCB" w14:textId="77777777" w:rsidR="000667D2" w:rsidRPr="004557E8" w:rsidRDefault="00D9217C" w:rsidP="00AC6AD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BEB08" w14:textId="77777777" w:rsidR="000667D2" w:rsidRPr="004557E8" w:rsidRDefault="000667D2" w:rsidP="00AC6AD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14%/10%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AE453EB" w14:textId="77777777" w:rsidR="000667D2" w:rsidRPr="004557E8" w:rsidRDefault="000667D2" w:rsidP="00AC6AD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12%/8%</w:t>
            </w:r>
          </w:p>
        </w:tc>
      </w:tr>
      <w:tr w:rsidR="000667D2" w:rsidRPr="004557E8" w14:paraId="14F42788" w14:textId="77777777" w:rsidTr="00AC6ADE">
        <w:tc>
          <w:tcPr>
            <w:tcW w:w="3119" w:type="dxa"/>
            <w:shd w:val="clear" w:color="auto" w:fill="auto"/>
            <w:vAlign w:val="center"/>
          </w:tcPr>
          <w:p w14:paraId="49C29F9C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Потеря HB</w:t>
            </w:r>
            <w:r w:rsidR="00D64EBB"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s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Ag/сероконверсия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1EDDA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0/0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BE974B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0/0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EDC95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kk-KZ" w:bidi="ru-RU"/>
              </w:rPr>
              <w:t>1%/1%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210CC8" w14:textId="77777777" w:rsidR="000667D2" w:rsidRPr="004557E8" w:rsidRDefault="000667D2" w:rsidP="00A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&lt;1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%/0</w:t>
            </w:r>
          </w:p>
        </w:tc>
      </w:tr>
    </w:tbl>
    <w:p w14:paraId="759D3BD5" w14:textId="77777777" w:rsidR="000667D2" w:rsidRPr="004557E8" w:rsidRDefault="00E0512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kk-KZ" w:bidi="ru-RU"/>
        </w:rPr>
      </w:pPr>
      <w:r w:rsidRPr="004557E8">
        <w:rPr>
          <w:rFonts w:ascii="Times New Roman" w:hAnsi="Times New Roman"/>
          <w:sz w:val="20"/>
          <w:szCs w:val="20"/>
          <w:lang w:bidi="ru-RU"/>
        </w:rPr>
        <w:t>Н/П</w:t>
      </w:r>
      <w:r w:rsidR="000667D2" w:rsidRPr="004557E8">
        <w:rPr>
          <w:rFonts w:ascii="Times New Roman" w:hAnsi="Times New Roman"/>
          <w:sz w:val="20"/>
          <w:szCs w:val="20"/>
          <w:lang w:val="en-US" w:bidi="ru-RU"/>
        </w:rPr>
        <w:t xml:space="preserve"> = </w:t>
      </w:r>
      <w:r w:rsidR="00080B38" w:rsidRPr="004557E8">
        <w:rPr>
          <w:rFonts w:ascii="Times New Roman" w:hAnsi="Times New Roman"/>
          <w:sz w:val="20"/>
          <w:szCs w:val="20"/>
          <w:lang w:val="kk-KZ" w:bidi="ru-RU"/>
        </w:rPr>
        <w:t>Не применимо</w:t>
      </w:r>
    </w:p>
    <w:p w14:paraId="2C0D59C2" w14:textId="77777777" w:rsidR="000667D2" w:rsidRPr="004557E8" w:rsidRDefault="00E6576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kk-KZ" w:bidi="ru-RU"/>
        </w:rPr>
        <w:t>ТДФ</w:t>
      </w:r>
      <w:r w:rsidR="000667D2" w:rsidRPr="004557E8">
        <w:rPr>
          <w:rFonts w:ascii="Times New Roman" w:hAnsi="Times New Roman"/>
          <w:sz w:val="20"/>
          <w:szCs w:val="20"/>
          <w:lang w:val="kk-KZ" w:bidi="ru-RU"/>
        </w:rPr>
        <w:t xml:space="preserve"> </w:t>
      </w:r>
      <w:r w:rsidR="000667D2" w:rsidRPr="004557E8">
        <w:rPr>
          <w:rFonts w:ascii="Times New Roman" w:hAnsi="Times New Roman"/>
          <w:sz w:val="20"/>
          <w:szCs w:val="20"/>
          <w:lang w:bidi="ru-RU"/>
        </w:rPr>
        <w:t xml:space="preserve">= </w:t>
      </w:r>
      <w:proofErr w:type="spellStart"/>
      <w:r w:rsidR="000667D2" w:rsidRPr="004557E8">
        <w:rPr>
          <w:rFonts w:ascii="Times New Roman" w:hAnsi="Times New Roman"/>
          <w:sz w:val="20"/>
          <w:szCs w:val="20"/>
          <w:lang w:bidi="ru-RU"/>
        </w:rPr>
        <w:t>тенофовира</w:t>
      </w:r>
      <w:proofErr w:type="spellEnd"/>
      <w:r w:rsidR="000667D2"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0667D2" w:rsidRPr="004557E8">
        <w:rPr>
          <w:rFonts w:ascii="Times New Roman" w:hAnsi="Times New Roman"/>
          <w:sz w:val="20"/>
          <w:szCs w:val="20"/>
          <w:lang w:bidi="ru-RU"/>
        </w:rPr>
        <w:t>дизопроксил</w:t>
      </w:r>
      <w:proofErr w:type="spellEnd"/>
      <w:r w:rsidR="00A933D8"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  <w:lang w:bidi="ru-RU"/>
        </w:rPr>
        <w:t>фумарат</w:t>
      </w:r>
      <w:proofErr w:type="spellEnd"/>
    </w:p>
    <w:p w14:paraId="1739393A" w14:textId="77777777" w:rsidR="000667D2" w:rsidRPr="004557E8" w:rsidRDefault="00E65765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bidi="ru-RU"/>
        </w:rPr>
        <w:t>ТАФ</w:t>
      </w:r>
      <w:r w:rsidR="000667D2" w:rsidRPr="004557E8">
        <w:rPr>
          <w:rFonts w:ascii="Times New Roman" w:hAnsi="Times New Roman"/>
          <w:sz w:val="20"/>
          <w:szCs w:val="20"/>
          <w:lang w:bidi="ru-RU"/>
        </w:rPr>
        <w:t xml:space="preserve"> = </w:t>
      </w:r>
      <w:proofErr w:type="spellStart"/>
      <w:r w:rsidR="000667D2" w:rsidRPr="004557E8">
        <w:rPr>
          <w:rFonts w:ascii="Times New Roman" w:hAnsi="Times New Roman"/>
          <w:sz w:val="20"/>
          <w:szCs w:val="20"/>
          <w:lang w:bidi="ru-RU"/>
        </w:rPr>
        <w:t>тенофовира</w:t>
      </w:r>
      <w:proofErr w:type="spellEnd"/>
      <w:r w:rsidR="000667D2"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0667D2" w:rsidRPr="004557E8">
        <w:rPr>
          <w:rFonts w:ascii="Times New Roman" w:hAnsi="Times New Roman"/>
          <w:sz w:val="20"/>
          <w:szCs w:val="20"/>
          <w:lang w:bidi="ru-RU"/>
        </w:rPr>
        <w:t>алафенамид</w:t>
      </w:r>
      <w:proofErr w:type="spellEnd"/>
      <w:r w:rsidR="00A933D8"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  <w:lang w:bidi="ru-RU"/>
        </w:rPr>
        <w:t>фумарат</w:t>
      </w:r>
      <w:proofErr w:type="spellEnd"/>
    </w:p>
    <w:p w14:paraId="09552012" w14:textId="77777777" w:rsidR="000667D2" w:rsidRPr="004557E8" w:rsidRDefault="000667D2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kk-KZ" w:bidi="ru-RU"/>
        </w:rPr>
      </w:pPr>
      <w:r w:rsidRPr="004557E8">
        <w:rPr>
          <w:rFonts w:ascii="Times New Roman" w:hAnsi="Times New Roman"/>
          <w:sz w:val="20"/>
          <w:szCs w:val="20"/>
          <w:lang w:val="kk-KZ" w:bidi="ru-RU"/>
        </w:rPr>
        <w:t>a - Отсутствует = сбой анализов</w:t>
      </w:r>
    </w:p>
    <w:p w14:paraId="21BBF648" w14:textId="77777777" w:rsidR="000667D2" w:rsidRPr="004557E8" w:rsidRDefault="000667D2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en-US" w:bidi="ru-RU"/>
        </w:rPr>
        <w:t>b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- Популяция, использованная для анализа нормализации АЛТ, включала только пациентов с АЛТ выше верхне</w:t>
      </w:r>
      <w:r w:rsidR="004E3287" w:rsidRPr="004557E8">
        <w:rPr>
          <w:rFonts w:ascii="Times New Roman" w:hAnsi="Times New Roman"/>
          <w:sz w:val="20"/>
          <w:szCs w:val="20"/>
          <w:lang w:bidi="ru-RU"/>
        </w:rPr>
        <w:t>й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4E3287" w:rsidRPr="004557E8">
        <w:rPr>
          <w:rFonts w:ascii="Times New Roman" w:hAnsi="Times New Roman"/>
          <w:sz w:val="20"/>
          <w:szCs w:val="20"/>
          <w:lang w:bidi="ru-RU"/>
        </w:rPr>
        <w:t>границы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нормы (ВГН) центрального лабораторного диапазона на исходном уровне. ВГН цен</w:t>
      </w:r>
      <w:r w:rsidR="00D2771B" w:rsidRPr="004557E8">
        <w:rPr>
          <w:rFonts w:ascii="Times New Roman" w:hAnsi="Times New Roman"/>
          <w:sz w:val="20"/>
          <w:szCs w:val="20"/>
          <w:lang w:bidi="ru-RU"/>
        </w:rPr>
        <w:t>тральной лаборатории для АЛТ: ≤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43 </w:t>
      </w:r>
      <w:proofErr w:type="spellStart"/>
      <w:r w:rsidRPr="004557E8">
        <w:rPr>
          <w:rFonts w:ascii="Times New Roman" w:hAnsi="Times New Roman"/>
          <w:sz w:val="20"/>
          <w:szCs w:val="20"/>
          <w:lang w:bidi="ru-RU"/>
        </w:rPr>
        <w:t>Ед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 xml:space="preserve">/л для мужчин </w:t>
      </w:r>
      <w:r w:rsidR="00D2771B" w:rsidRPr="004557E8">
        <w:rPr>
          <w:rFonts w:ascii="Times New Roman" w:hAnsi="Times New Roman"/>
          <w:sz w:val="20"/>
          <w:szCs w:val="20"/>
          <w:lang w:bidi="ru-RU"/>
        </w:rPr>
        <w:t xml:space="preserve">в возрасте от 18 до &lt;69 лет и ≤35 </w:t>
      </w:r>
      <w:proofErr w:type="spellStart"/>
      <w:r w:rsidR="00D2771B" w:rsidRPr="004557E8">
        <w:rPr>
          <w:rFonts w:ascii="Times New Roman" w:hAnsi="Times New Roman"/>
          <w:sz w:val="20"/>
          <w:szCs w:val="20"/>
          <w:lang w:bidi="ru-RU"/>
        </w:rPr>
        <w:t>Ед</w:t>
      </w:r>
      <w:proofErr w:type="spellEnd"/>
      <w:r w:rsidR="00D2771B" w:rsidRPr="004557E8">
        <w:rPr>
          <w:rFonts w:ascii="Times New Roman" w:hAnsi="Times New Roman"/>
          <w:sz w:val="20"/>
          <w:szCs w:val="20"/>
          <w:lang w:bidi="ru-RU"/>
        </w:rPr>
        <w:t>/л для мужчин ≥69 лет; ≤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34 </w:t>
      </w:r>
      <w:proofErr w:type="spellStart"/>
      <w:r w:rsidRPr="004557E8">
        <w:rPr>
          <w:rFonts w:ascii="Times New Roman" w:hAnsi="Times New Roman"/>
          <w:sz w:val="20"/>
          <w:szCs w:val="20"/>
          <w:lang w:bidi="ru-RU"/>
        </w:rPr>
        <w:t>Ед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 xml:space="preserve">/л </w:t>
      </w:r>
      <w:r w:rsidR="00D2771B" w:rsidRPr="004557E8">
        <w:rPr>
          <w:rFonts w:ascii="Times New Roman" w:hAnsi="Times New Roman"/>
          <w:sz w:val="20"/>
          <w:szCs w:val="20"/>
          <w:lang w:bidi="ru-RU"/>
        </w:rPr>
        <w:t>для женщин от 18 до &lt;69 лет и ≤</w:t>
      </w:r>
      <w:r w:rsidR="00275EFA" w:rsidRPr="004557E8">
        <w:rPr>
          <w:rFonts w:ascii="Times New Roman" w:hAnsi="Times New Roman"/>
          <w:sz w:val="20"/>
          <w:szCs w:val="20"/>
          <w:lang w:bidi="ru-RU"/>
        </w:rPr>
        <w:t xml:space="preserve">32 </w:t>
      </w:r>
      <w:proofErr w:type="spellStart"/>
      <w:r w:rsidR="00275EFA" w:rsidRPr="004557E8">
        <w:rPr>
          <w:rFonts w:ascii="Times New Roman" w:hAnsi="Times New Roman"/>
          <w:sz w:val="20"/>
          <w:szCs w:val="20"/>
          <w:lang w:bidi="ru-RU"/>
        </w:rPr>
        <w:t>Ед</w:t>
      </w:r>
      <w:proofErr w:type="spellEnd"/>
      <w:r w:rsidR="00275EFA" w:rsidRPr="004557E8">
        <w:rPr>
          <w:rFonts w:ascii="Times New Roman" w:hAnsi="Times New Roman"/>
          <w:sz w:val="20"/>
          <w:szCs w:val="20"/>
          <w:lang w:bidi="ru-RU"/>
        </w:rPr>
        <w:t>/л для женщин ≥</w:t>
      </w:r>
      <w:r w:rsidRPr="004557E8">
        <w:rPr>
          <w:rFonts w:ascii="Times New Roman" w:hAnsi="Times New Roman"/>
          <w:sz w:val="20"/>
          <w:szCs w:val="20"/>
          <w:lang w:bidi="ru-RU"/>
        </w:rPr>
        <w:t>69 лет</w:t>
      </w:r>
      <w:r w:rsidR="004E3287" w:rsidRPr="004557E8">
        <w:rPr>
          <w:rFonts w:ascii="Times New Roman" w:hAnsi="Times New Roman"/>
          <w:sz w:val="20"/>
          <w:szCs w:val="20"/>
          <w:lang w:bidi="ru-RU"/>
        </w:rPr>
        <w:t>.</w:t>
      </w:r>
    </w:p>
    <w:p w14:paraId="42E3F449" w14:textId="77777777" w:rsidR="004E3287" w:rsidRPr="004557E8" w:rsidRDefault="004E3287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en-US" w:bidi="ru-RU"/>
        </w:rPr>
        <w:t>c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- Популяция, использованная для анализа нормализации АЛТ, включала только пациентов с АЛТ выше ВГН согласно критериям Американской ассоциации изучения заболеваний печени (</w:t>
      </w:r>
      <w:r w:rsidRPr="004557E8">
        <w:rPr>
          <w:rFonts w:ascii="Times New Roman" w:hAnsi="Times New Roman"/>
          <w:sz w:val="20"/>
          <w:szCs w:val="20"/>
          <w:lang w:val="en-US" w:bidi="ru-RU"/>
        </w:rPr>
        <w:t>AASLD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) </w:t>
      </w:r>
      <w:r w:rsidR="00D2771B" w:rsidRPr="004557E8">
        <w:rPr>
          <w:rFonts w:ascii="Times New Roman" w:hAnsi="Times New Roman"/>
          <w:sz w:val="20"/>
          <w:szCs w:val="20"/>
          <w:lang w:bidi="ru-RU"/>
        </w:rPr>
        <w:t xml:space="preserve">2016 года (&gt;30 </w:t>
      </w:r>
      <w:proofErr w:type="spellStart"/>
      <w:r w:rsidR="00D2771B" w:rsidRPr="004557E8">
        <w:rPr>
          <w:rFonts w:ascii="Times New Roman" w:hAnsi="Times New Roman"/>
          <w:sz w:val="20"/>
          <w:szCs w:val="20"/>
          <w:lang w:bidi="ru-RU"/>
        </w:rPr>
        <w:t>Ед</w:t>
      </w:r>
      <w:proofErr w:type="spellEnd"/>
      <w:r w:rsidR="00D2771B" w:rsidRPr="004557E8">
        <w:rPr>
          <w:rFonts w:ascii="Times New Roman" w:hAnsi="Times New Roman"/>
          <w:sz w:val="20"/>
          <w:szCs w:val="20"/>
          <w:lang w:bidi="ru-RU"/>
        </w:rPr>
        <w:t>/л мужчины и &gt;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19 </w:t>
      </w:r>
      <w:proofErr w:type="spellStart"/>
      <w:r w:rsidRPr="004557E8">
        <w:rPr>
          <w:rFonts w:ascii="Times New Roman" w:hAnsi="Times New Roman"/>
          <w:sz w:val="20"/>
          <w:szCs w:val="20"/>
          <w:lang w:bidi="ru-RU"/>
        </w:rPr>
        <w:t>Ед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>/л женщины) на исходном уровне.</w:t>
      </w:r>
    </w:p>
    <w:p w14:paraId="3E1F5CFA" w14:textId="77777777" w:rsidR="000667D2" w:rsidRPr="004557E8" w:rsidRDefault="0053123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en-US" w:bidi="ru-RU"/>
        </w:rPr>
        <w:t>d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- Популяция, использованная для серологического анализа, включала только пациентов с положительным антигеном (</w:t>
      </w:r>
      <w:proofErr w:type="spellStart"/>
      <w:r w:rsidRPr="004557E8">
        <w:rPr>
          <w:rFonts w:ascii="Times New Roman" w:hAnsi="Times New Roman"/>
          <w:sz w:val="20"/>
          <w:szCs w:val="20"/>
          <w:lang w:val="en-US" w:bidi="ru-RU"/>
        </w:rPr>
        <w:t>HBeAg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>) и отрицательным по антителам (</w:t>
      </w:r>
      <w:proofErr w:type="spellStart"/>
      <w:r w:rsidRPr="004557E8">
        <w:rPr>
          <w:rFonts w:ascii="Times New Roman" w:hAnsi="Times New Roman"/>
          <w:sz w:val="20"/>
          <w:szCs w:val="20"/>
          <w:lang w:val="en-US" w:bidi="ru-RU"/>
        </w:rPr>
        <w:t>HBeAb</w:t>
      </w:r>
      <w:proofErr w:type="spellEnd"/>
      <w:r w:rsidRPr="004557E8">
        <w:rPr>
          <w:rFonts w:ascii="Times New Roman" w:hAnsi="Times New Roman"/>
          <w:sz w:val="20"/>
          <w:szCs w:val="20"/>
          <w:lang w:bidi="ru-RU"/>
        </w:rPr>
        <w:t>) или отсутствующим на исходном уровне.</w:t>
      </w:r>
    </w:p>
    <w:p w14:paraId="543EAF19" w14:textId="77777777" w:rsidR="00D2771B" w:rsidRPr="004557E8" w:rsidRDefault="00D2771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</w:p>
    <w:p w14:paraId="03D0287A" w14:textId="77777777" w:rsidR="00531239" w:rsidRPr="004557E8" w:rsidRDefault="0053123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4557E8">
        <w:rPr>
          <w:rFonts w:ascii="Times New Roman" w:hAnsi="Times New Roman"/>
          <w:i/>
          <w:sz w:val="24"/>
          <w:szCs w:val="24"/>
          <w:lang w:bidi="ru-RU"/>
        </w:rPr>
        <w:t>Опыт более 48 недель в исследовании 108 и исследовании 110</w:t>
      </w:r>
    </w:p>
    <w:p w14:paraId="63AD945A" w14:textId="77777777" w:rsidR="00D2771B" w:rsidRPr="004557E8" w:rsidRDefault="00531239" w:rsidP="00D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557E8">
        <w:rPr>
          <w:rFonts w:ascii="Times New Roman" w:hAnsi="Times New Roman"/>
          <w:sz w:val="24"/>
          <w:szCs w:val="24"/>
          <w:lang w:bidi="ru-RU"/>
        </w:rPr>
        <w:lastRenderedPageBreak/>
        <w:t xml:space="preserve">На 96 неделе подавление вируса, а также биохимические и серологические реакции поддерживались при лечении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алафенамидом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(см. Таблицу 5).</w:t>
      </w:r>
    </w:p>
    <w:p w14:paraId="15213E34" w14:textId="77777777" w:rsidR="000D4E00" w:rsidRPr="004557E8" w:rsidRDefault="000D4E00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Таблица 5: Дополнительные параметры эффективности касательно ДНК вируса гепатита В на Неделю 96</w:t>
      </w:r>
      <w:r w:rsidRPr="004557E8">
        <w:rPr>
          <w:rFonts w:ascii="Times New Roman" w:hAnsi="Times New Roman"/>
          <w:sz w:val="24"/>
          <w:szCs w:val="24"/>
          <w:vertAlign w:val="superscript"/>
        </w:rPr>
        <w:t>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11"/>
        <w:gridCol w:w="1608"/>
        <w:gridCol w:w="1559"/>
        <w:gridCol w:w="1553"/>
      </w:tblGrid>
      <w:tr w:rsidR="000D4E00" w:rsidRPr="004557E8" w14:paraId="72B88B2F" w14:textId="77777777" w:rsidTr="001D6DEB">
        <w:tc>
          <w:tcPr>
            <w:tcW w:w="2835" w:type="dxa"/>
            <w:vMerge w:val="restart"/>
            <w:shd w:val="clear" w:color="auto" w:fill="auto"/>
            <w:vAlign w:val="center"/>
          </w:tcPr>
          <w:p w14:paraId="375C0DE2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18D6B65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Исследование 108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HBeAg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-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отрицательные)</w:t>
            </w:r>
          </w:p>
        </w:tc>
        <w:tc>
          <w:tcPr>
            <w:tcW w:w="3112" w:type="dxa"/>
            <w:gridSpan w:val="2"/>
            <w:shd w:val="clear" w:color="auto" w:fill="auto"/>
            <w:vAlign w:val="center"/>
          </w:tcPr>
          <w:p w14:paraId="095DE8CC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Исследование 110 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HBeAg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-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положительные)</w:t>
            </w:r>
          </w:p>
        </w:tc>
      </w:tr>
      <w:tr w:rsidR="000D4E00" w:rsidRPr="004557E8" w14:paraId="2442EB12" w14:textId="77777777" w:rsidTr="001D6DEB">
        <w:tc>
          <w:tcPr>
            <w:tcW w:w="2835" w:type="dxa"/>
            <w:vMerge/>
            <w:shd w:val="clear" w:color="auto" w:fill="auto"/>
            <w:vAlign w:val="center"/>
          </w:tcPr>
          <w:p w14:paraId="2CC0894E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160394B" w14:textId="77777777" w:rsidR="000D4E00" w:rsidRPr="004557E8" w:rsidRDefault="00E65765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ТАФ</w:t>
            </w:r>
          </w:p>
          <w:p w14:paraId="1382E8C9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r w:rsidR="00D2771B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N=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285)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0292849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ТДФ</w:t>
            </w:r>
          </w:p>
          <w:p w14:paraId="65FB3403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r w:rsidR="00D2771B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N=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140)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73978" w14:textId="77777777" w:rsidR="000D4E00" w:rsidRPr="004557E8" w:rsidRDefault="00E65765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ТАФ</w:t>
            </w:r>
          </w:p>
          <w:p w14:paraId="3D349D64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r w:rsidR="00D2771B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N=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581)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686D547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ТДФ</w:t>
            </w:r>
          </w:p>
          <w:p w14:paraId="1DB0D75E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r w:rsidR="00D2771B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N=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292)</w:t>
            </w:r>
          </w:p>
        </w:tc>
      </w:tr>
      <w:tr w:rsidR="000D4E00" w:rsidRPr="004557E8" w14:paraId="0CC2BCF0" w14:textId="77777777" w:rsidTr="001D6DEB">
        <w:tc>
          <w:tcPr>
            <w:tcW w:w="2835" w:type="dxa"/>
            <w:shd w:val="clear" w:color="auto" w:fill="auto"/>
            <w:vAlign w:val="center"/>
          </w:tcPr>
          <w:p w14:paraId="3640D4AD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Уровень ДНК вируса гепатита В менее 29 единиц интегрирования на мл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02BC118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90%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99BA429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91%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F5AF35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73%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64F56D3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75%</w:t>
            </w:r>
          </w:p>
        </w:tc>
      </w:tr>
      <w:tr w:rsidR="000D4E00" w:rsidRPr="004557E8" w14:paraId="03C9A50C" w14:textId="77777777" w:rsidTr="001D6DEB">
        <w:tc>
          <w:tcPr>
            <w:tcW w:w="2835" w:type="dxa"/>
            <w:shd w:val="clear" w:color="auto" w:fill="auto"/>
            <w:vAlign w:val="center"/>
          </w:tcPr>
          <w:p w14:paraId="25D70653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Базовое значение уровня ДНК вируса гепатита В</w:t>
            </w:r>
          </w:p>
          <w:p w14:paraId="451A6E67" w14:textId="77777777" w:rsidR="000D4E00" w:rsidRPr="004557E8" w:rsidRDefault="001667E4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&lt;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7 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log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10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единиц интегрирования на мл</w:t>
            </w:r>
          </w:p>
          <w:p w14:paraId="220A2D80" w14:textId="77777777" w:rsidR="000D4E00" w:rsidRPr="004557E8" w:rsidRDefault="00D2771B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≥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7 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log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10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единиц интегрирования на мл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B80574C" w14:textId="77777777" w:rsidR="001D6DEB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90% (207/230)</w:t>
            </w:r>
          </w:p>
          <w:p w14:paraId="05A1E99C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91% (50/55)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F8BC7D6" w14:textId="77777777" w:rsidR="001D6DEB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91% (105/116)</w:t>
            </w:r>
          </w:p>
          <w:p w14:paraId="207E1F22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92% (22/24)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D0C48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54CF115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</w:tr>
      <w:tr w:rsidR="000D4E00" w:rsidRPr="004557E8" w14:paraId="6C141D0C" w14:textId="77777777" w:rsidTr="001D6DEB">
        <w:tc>
          <w:tcPr>
            <w:tcW w:w="2835" w:type="dxa"/>
            <w:shd w:val="clear" w:color="auto" w:fill="auto"/>
            <w:vAlign w:val="center"/>
          </w:tcPr>
          <w:p w14:paraId="69CD7ED8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Базовое значение уровня ДНК вируса гепатита В</w:t>
            </w:r>
          </w:p>
          <w:p w14:paraId="0B881B3C" w14:textId="77777777" w:rsidR="000D4E00" w:rsidRPr="004557E8" w:rsidRDefault="001667E4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&lt;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8 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log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10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единиц интегрирования на мл</w:t>
            </w:r>
          </w:p>
          <w:p w14:paraId="7F897C73" w14:textId="77777777" w:rsidR="000D4E00" w:rsidRPr="004557E8" w:rsidRDefault="00D2771B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≥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8 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log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10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единиц интегрирования на мл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87835B2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6B0D97D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45280" w14:textId="77777777" w:rsidR="001D6DEB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84% (260/309)</w:t>
            </w:r>
          </w:p>
          <w:p w14:paraId="6A2DB3EA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60% (163/272)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65C19C8" w14:textId="77777777" w:rsidR="001D6DEB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81% (121/150)</w:t>
            </w:r>
          </w:p>
          <w:p w14:paraId="4655FE93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68% (97/142)</w:t>
            </w:r>
          </w:p>
        </w:tc>
      </w:tr>
      <w:tr w:rsidR="000D4E00" w:rsidRPr="004557E8" w14:paraId="33C4D02B" w14:textId="77777777" w:rsidTr="001D6DEB">
        <w:tc>
          <w:tcPr>
            <w:tcW w:w="2835" w:type="dxa"/>
            <w:shd w:val="clear" w:color="auto" w:fill="auto"/>
            <w:vAlign w:val="center"/>
          </w:tcPr>
          <w:p w14:paraId="5AAB58C8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Не принимавшие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нуклеозидные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препараты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/>
              </w:rPr>
              <w:t>b</w:t>
            </w:r>
          </w:p>
          <w:p w14:paraId="7A79E192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Принимавшие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нуклеозидные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0CF93FA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90% (203/225)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br/>
              <w:t>90% (54/60)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66CB411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92% (101/110)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br/>
              <w:t>87% (26/30)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4A646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75% (331/444)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br/>
              <w:t>67% (92/137)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BABAAD0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75% (168/223)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br/>
              <w:t>72% (50/69)</w:t>
            </w:r>
          </w:p>
        </w:tc>
      </w:tr>
      <w:tr w:rsidR="000D4E00" w:rsidRPr="004557E8" w14:paraId="79EFF210" w14:textId="77777777" w:rsidTr="001D6DEB">
        <w:tc>
          <w:tcPr>
            <w:tcW w:w="2835" w:type="dxa"/>
            <w:shd w:val="clear" w:color="auto" w:fill="auto"/>
            <w:vAlign w:val="center"/>
          </w:tcPr>
          <w:p w14:paraId="2072DCF6" w14:textId="77777777" w:rsidR="000D4E00" w:rsidRPr="004557E8" w:rsidRDefault="00E0512E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АЛТ</w:t>
            </w:r>
          </w:p>
          <w:p w14:paraId="71938CF3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Нормализованный показатель </w:t>
            </w:r>
            <w:r w:rsidR="00E0512E" w:rsidRPr="004557E8">
              <w:rPr>
                <w:rFonts w:ascii="Times New Roman" w:eastAsia="SimSun" w:hAnsi="Times New Roman"/>
                <w:sz w:val="24"/>
                <w:szCs w:val="24"/>
              </w:rPr>
              <w:t>АЛТ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(центральная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лаборатория)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с</w:t>
            </w:r>
            <w:proofErr w:type="gramEnd"/>
          </w:p>
          <w:p w14:paraId="44934056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vertAlign w:val="superscript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Нормализованный показатель 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A</w:t>
            </w:r>
            <w:r w:rsidR="00E0512E" w:rsidRPr="004557E8">
              <w:rPr>
                <w:rFonts w:ascii="Times New Roman" w:eastAsia="SimSun" w:hAnsi="Times New Roman"/>
                <w:sz w:val="24"/>
                <w:szCs w:val="24"/>
              </w:rPr>
              <w:t>ЛТ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(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AASLD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017F909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81%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br/>
              <w:t>50%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2B9A74A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71%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br/>
              <w:t>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536D43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75%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br/>
              <w:t>52%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693AA0F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68%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br/>
              <w:t>42%</w:t>
            </w:r>
          </w:p>
        </w:tc>
      </w:tr>
      <w:tr w:rsidR="000D4E00" w:rsidRPr="004557E8" w14:paraId="11B2DEEA" w14:textId="77777777" w:rsidTr="001D6DEB">
        <w:tc>
          <w:tcPr>
            <w:tcW w:w="2835" w:type="dxa"/>
            <w:shd w:val="clear" w:color="auto" w:fill="auto"/>
            <w:vAlign w:val="center"/>
          </w:tcPr>
          <w:p w14:paraId="0526503E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Серология</w:t>
            </w:r>
          </w:p>
          <w:p w14:paraId="29E11AE3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Потеря</w:t>
            </w:r>
            <w:r w:rsidR="001D6DEB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="001D6DEB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HBeAg</w:t>
            </w:r>
            <w:r w:rsidR="001D6DEB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/>
              </w:rPr>
              <w:t>e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сероконверсия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BD1516E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82DB011" w14:textId="77777777" w:rsidR="000D4E00" w:rsidRPr="004557E8" w:rsidRDefault="000D4E00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8647A" w14:textId="77777777" w:rsidR="000D4E00" w:rsidRPr="004557E8" w:rsidRDefault="00D2771B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22%/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>18%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1C3702B" w14:textId="77777777" w:rsidR="000D4E00" w:rsidRPr="004557E8" w:rsidRDefault="00D2771B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18%/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>12%</w:t>
            </w:r>
          </w:p>
        </w:tc>
      </w:tr>
      <w:tr w:rsidR="000D4E00" w:rsidRPr="004557E8" w14:paraId="51097BFF" w14:textId="77777777" w:rsidTr="001D6DEB">
        <w:tc>
          <w:tcPr>
            <w:tcW w:w="2835" w:type="dxa"/>
            <w:shd w:val="clear" w:color="auto" w:fill="auto"/>
            <w:vAlign w:val="center"/>
          </w:tcPr>
          <w:p w14:paraId="161E80D1" w14:textId="77777777" w:rsidR="000D4E00" w:rsidRPr="004557E8" w:rsidRDefault="000D4E00" w:rsidP="001667E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Потеря</w:t>
            </w:r>
            <w:r w:rsidR="001D6DEB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1D6DEB" w:rsidRPr="004557E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HBsAg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>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сероконверсия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B40822E" w14:textId="77777777" w:rsidR="000D4E00" w:rsidRPr="004557E8" w:rsidRDefault="00D2771B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&lt;1%</w:t>
            </w:r>
            <w:proofErr w:type="gramStart"/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>/&lt;</w:t>
            </w:r>
            <w:proofErr w:type="gramEnd"/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>1%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4CEF7A6" w14:textId="77777777" w:rsidR="000D4E00" w:rsidRPr="004557E8" w:rsidRDefault="00D2771B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0/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FF8C72" w14:textId="77777777" w:rsidR="000D4E00" w:rsidRPr="004557E8" w:rsidRDefault="00D2771B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1%/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>1%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0BBD5E4" w14:textId="77777777" w:rsidR="000D4E00" w:rsidRPr="004557E8" w:rsidRDefault="00D2771B" w:rsidP="001667E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1%/</w:t>
            </w:r>
            <w:r w:rsidR="000D4E00" w:rsidRPr="004557E8">
              <w:rPr>
                <w:rFonts w:ascii="Times New Roman" w:eastAsia="SimSun" w:hAnsi="Times New Roman"/>
                <w:sz w:val="24"/>
                <w:szCs w:val="24"/>
              </w:rPr>
              <w:t>0</w:t>
            </w:r>
          </w:p>
        </w:tc>
      </w:tr>
    </w:tbl>
    <w:p w14:paraId="73E6BC40" w14:textId="77777777" w:rsidR="000D4E00" w:rsidRPr="004557E8" w:rsidRDefault="000D4E0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>Н/П = не применимо</w:t>
      </w:r>
    </w:p>
    <w:p w14:paraId="75D0E28D" w14:textId="77777777" w:rsidR="000D4E00" w:rsidRPr="004557E8" w:rsidRDefault="000D4E0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ТДФ =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дизопроксил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фумарат</w:t>
      </w:r>
      <w:proofErr w:type="spellEnd"/>
    </w:p>
    <w:p w14:paraId="69902C70" w14:textId="77777777" w:rsidR="00E65765" w:rsidRPr="004557E8" w:rsidRDefault="00E65765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ТАФ =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</w:t>
      </w:r>
      <w:proofErr w:type="spellEnd"/>
      <w:r w:rsidR="00A933D8"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</w:rPr>
        <w:t>фумарат</w:t>
      </w:r>
      <w:proofErr w:type="spellEnd"/>
    </w:p>
    <w:p w14:paraId="5B05B035" w14:textId="77777777" w:rsidR="006573DC" w:rsidRPr="004557E8" w:rsidRDefault="000D4E0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4557E8">
        <w:rPr>
          <w:rFonts w:ascii="Times New Roman" w:hAnsi="Times New Roman"/>
          <w:sz w:val="20"/>
          <w:szCs w:val="20"/>
        </w:rPr>
        <w:t xml:space="preserve">а. Отсутствует – </w:t>
      </w:r>
      <w:r w:rsidR="006573DC" w:rsidRPr="004557E8">
        <w:rPr>
          <w:rFonts w:ascii="Times New Roman" w:hAnsi="Times New Roman"/>
          <w:sz w:val="20"/>
          <w:szCs w:val="20"/>
          <w:lang w:bidi="ru-RU"/>
        </w:rPr>
        <w:t>сбой анализов</w:t>
      </w:r>
      <w:r w:rsidR="006573DC" w:rsidRPr="004557E8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0445D433" w14:textId="77777777" w:rsidR="000D4E00" w:rsidRPr="004557E8" w:rsidRDefault="000D4E0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lang w:val="en-US"/>
        </w:rPr>
        <w:t>b</w:t>
      </w:r>
      <w:r w:rsidRPr="004557E8">
        <w:rPr>
          <w:rFonts w:ascii="Times New Roman" w:hAnsi="Times New Roman"/>
          <w:sz w:val="20"/>
          <w:szCs w:val="20"/>
        </w:rPr>
        <w:t xml:space="preserve">. Пациенты, получающие лечение впервые, получали менее 12 недель перорального противовирусного лечение с использованием любых </w:t>
      </w:r>
      <w:proofErr w:type="spellStart"/>
      <w:r w:rsidRPr="004557E8">
        <w:rPr>
          <w:rFonts w:ascii="Times New Roman" w:hAnsi="Times New Roman"/>
          <w:sz w:val="20"/>
          <w:szCs w:val="20"/>
        </w:rPr>
        <w:t>нуклеозидных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или нуклеотидных аналогов, включая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дизопроксил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фумарат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или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</w:t>
      </w:r>
      <w:proofErr w:type="spellEnd"/>
      <w:r w:rsidR="00A933D8"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</w:rPr>
        <w:t>фумарат</w:t>
      </w:r>
      <w:proofErr w:type="spellEnd"/>
      <w:r w:rsidRPr="004557E8">
        <w:rPr>
          <w:rFonts w:ascii="Times New Roman" w:hAnsi="Times New Roman"/>
          <w:sz w:val="20"/>
          <w:szCs w:val="20"/>
        </w:rPr>
        <w:t>.</w:t>
      </w:r>
    </w:p>
    <w:p w14:paraId="05EA4E12" w14:textId="77777777" w:rsidR="000D4E00" w:rsidRPr="004557E8" w:rsidRDefault="000D4E0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с. Группа населения, использованная для анализа нормализации </w:t>
      </w:r>
      <w:r w:rsidR="00E65765" w:rsidRPr="004557E8">
        <w:rPr>
          <w:rFonts w:ascii="Times New Roman" w:hAnsi="Times New Roman"/>
          <w:sz w:val="20"/>
          <w:szCs w:val="20"/>
        </w:rPr>
        <w:t>АЛТ</w:t>
      </w:r>
      <w:r w:rsidRPr="004557E8">
        <w:rPr>
          <w:rFonts w:ascii="Times New Roman" w:hAnsi="Times New Roman"/>
          <w:sz w:val="20"/>
          <w:szCs w:val="20"/>
        </w:rPr>
        <w:t xml:space="preserve">, включала в себя только пациентов с уровнем </w:t>
      </w:r>
      <w:r w:rsidR="00E65765" w:rsidRPr="004557E8">
        <w:rPr>
          <w:rFonts w:ascii="Times New Roman" w:hAnsi="Times New Roman"/>
          <w:sz w:val="20"/>
          <w:szCs w:val="20"/>
        </w:rPr>
        <w:t>АЛТ</w:t>
      </w:r>
      <w:r w:rsidRPr="004557E8">
        <w:rPr>
          <w:rFonts w:ascii="Times New Roman" w:hAnsi="Times New Roman"/>
          <w:sz w:val="20"/>
          <w:szCs w:val="20"/>
        </w:rPr>
        <w:t xml:space="preserve"> выше уровня нормы в диапазоне центральной лаборатории при базовом значении. Значения верхнего предела нормы для </w:t>
      </w:r>
      <w:r w:rsidR="00E65765" w:rsidRPr="004557E8">
        <w:rPr>
          <w:rFonts w:ascii="Times New Roman" w:hAnsi="Times New Roman"/>
          <w:sz w:val="20"/>
          <w:szCs w:val="20"/>
        </w:rPr>
        <w:t>АЛТ</w:t>
      </w:r>
      <w:r w:rsidRPr="004557E8">
        <w:rPr>
          <w:rFonts w:ascii="Times New Roman" w:hAnsi="Times New Roman"/>
          <w:sz w:val="20"/>
          <w:szCs w:val="20"/>
        </w:rPr>
        <w:t xml:space="preserve"> центральной лаборатории следующие: не более 43 единиц на литр для мужчин от 18 до 69 лет, и не более 35 единиц на литр для мужчин старше 69 лет; не более 34 единиц на литр для женщин от 18 до 69 лет, и не более 32 единиц на литр для женщин старше 69 лет.</w:t>
      </w:r>
    </w:p>
    <w:p w14:paraId="08C1BC18" w14:textId="77777777" w:rsidR="000D4E00" w:rsidRPr="004557E8" w:rsidRDefault="000D4E0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lang w:val="en-US"/>
        </w:rPr>
        <w:lastRenderedPageBreak/>
        <w:t>d</w:t>
      </w:r>
      <w:r w:rsidRPr="004557E8">
        <w:rPr>
          <w:rFonts w:ascii="Times New Roman" w:hAnsi="Times New Roman"/>
          <w:sz w:val="20"/>
          <w:szCs w:val="20"/>
        </w:rPr>
        <w:t xml:space="preserve">. Группа населения, использованная для анализа нормализации </w:t>
      </w:r>
      <w:r w:rsidRPr="004557E8">
        <w:rPr>
          <w:rFonts w:ascii="Times New Roman" w:hAnsi="Times New Roman"/>
          <w:sz w:val="20"/>
          <w:szCs w:val="20"/>
          <w:lang w:val="en-US"/>
        </w:rPr>
        <w:t>A</w:t>
      </w:r>
      <w:r w:rsidR="00EE20ED" w:rsidRPr="004557E8">
        <w:rPr>
          <w:rFonts w:ascii="Times New Roman" w:hAnsi="Times New Roman"/>
          <w:sz w:val="20"/>
          <w:szCs w:val="20"/>
        </w:rPr>
        <w:t>ЛТ</w:t>
      </w:r>
      <w:r w:rsidRPr="004557E8">
        <w:rPr>
          <w:rFonts w:ascii="Times New Roman" w:hAnsi="Times New Roman"/>
          <w:sz w:val="20"/>
          <w:szCs w:val="20"/>
        </w:rPr>
        <w:t xml:space="preserve">, включала в себя только пациентов с уровнем </w:t>
      </w:r>
      <w:r w:rsidR="00E65765" w:rsidRPr="004557E8">
        <w:rPr>
          <w:rFonts w:ascii="Times New Roman" w:hAnsi="Times New Roman"/>
          <w:sz w:val="20"/>
          <w:szCs w:val="20"/>
        </w:rPr>
        <w:t>АЛТ</w:t>
      </w:r>
      <w:r w:rsidRPr="004557E8">
        <w:rPr>
          <w:rFonts w:ascii="Times New Roman" w:hAnsi="Times New Roman"/>
          <w:sz w:val="20"/>
          <w:szCs w:val="20"/>
        </w:rPr>
        <w:t xml:space="preserve"> выше уровня нормы согласно критерию Американской ассоциации по исследования заболеваний печени (</w:t>
      </w:r>
      <w:proofErr w:type="spellStart"/>
      <w:r w:rsidRPr="004557E8">
        <w:rPr>
          <w:rFonts w:ascii="Times New Roman" w:hAnsi="Times New Roman"/>
          <w:sz w:val="20"/>
          <w:szCs w:val="20"/>
        </w:rPr>
        <w:t>American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Association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of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the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Study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of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Liver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Diseases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(AASLD))</w:t>
      </w:r>
      <w:r w:rsidR="00976114" w:rsidRPr="004557E8">
        <w:rPr>
          <w:rFonts w:ascii="Times New Roman" w:hAnsi="Times New Roman"/>
          <w:sz w:val="20"/>
          <w:szCs w:val="20"/>
        </w:rPr>
        <w:t xml:space="preserve"> </w:t>
      </w:r>
      <w:r w:rsidR="00976114" w:rsidRPr="004557E8">
        <w:rPr>
          <w:rFonts w:ascii="Times New Roman" w:hAnsi="Times New Roman"/>
          <w:sz w:val="20"/>
          <w:szCs w:val="20"/>
          <w:lang w:bidi="ru-RU"/>
        </w:rPr>
        <w:t>2016 года</w:t>
      </w:r>
      <w:r w:rsidRPr="004557E8">
        <w:rPr>
          <w:rFonts w:ascii="Times New Roman" w:hAnsi="Times New Roman"/>
          <w:sz w:val="20"/>
          <w:szCs w:val="20"/>
        </w:rPr>
        <w:t xml:space="preserve"> (более 30 единиц на литр для мужчин и более 19 единиц на литр для женщин) при базовом значении.</w:t>
      </w:r>
    </w:p>
    <w:p w14:paraId="0B599700" w14:textId="77777777" w:rsidR="000D4E00" w:rsidRPr="004557E8" w:rsidRDefault="000D4E00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0"/>
          <w:szCs w:val="20"/>
          <w:lang w:val="en-US"/>
        </w:rPr>
        <w:t>e</w:t>
      </w:r>
      <w:r w:rsidRPr="004557E8">
        <w:rPr>
          <w:rFonts w:ascii="Times New Roman" w:hAnsi="Times New Roman"/>
          <w:sz w:val="20"/>
          <w:szCs w:val="20"/>
        </w:rPr>
        <w:t>. Группа населения, использованная для анализа серологии, включала в себя только пациентов, положительным к антигенам (</w:t>
      </w:r>
      <w:proofErr w:type="spellStart"/>
      <w:r w:rsidRPr="004557E8">
        <w:rPr>
          <w:rFonts w:ascii="Times New Roman" w:hAnsi="Times New Roman"/>
          <w:sz w:val="20"/>
          <w:szCs w:val="20"/>
          <w:lang w:val="en-US"/>
        </w:rPr>
        <w:t>HBeAg</w:t>
      </w:r>
      <w:proofErr w:type="spellEnd"/>
      <w:r w:rsidRPr="004557E8">
        <w:rPr>
          <w:rFonts w:ascii="Times New Roman" w:hAnsi="Times New Roman"/>
          <w:sz w:val="20"/>
          <w:szCs w:val="20"/>
        </w:rPr>
        <w:t>) и отрицательным к антителам (</w:t>
      </w:r>
      <w:proofErr w:type="spellStart"/>
      <w:r w:rsidRPr="004557E8">
        <w:rPr>
          <w:rFonts w:ascii="Times New Roman" w:hAnsi="Times New Roman"/>
          <w:sz w:val="20"/>
          <w:szCs w:val="20"/>
          <w:lang w:val="en-US"/>
        </w:rPr>
        <w:t>HBeAb</w:t>
      </w:r>
      <w:proofErr w:type="spellEnd"/>
      <w:r w:rsidRPr="004557E8">
        <w:rPr>
          <w:rFonts w:ascii="Times New Roman" w:hAnsi="Times New Roman"/>
          <w:sz w:val="20"/>
          <w:szCs w:val="20"/>
        </w:rPr>
        <w:t>) или их отсутствию при базовом значении</w:t>
      </w:r>
      <w:r w:rsidRPr="004557E8">
        <w:rPr>
          <w:rFonts w:ascii="Times New Roman" w:hAnsi="Times New Roman"/>
          <w:sz w:val="24"/>
          <w:szCs w:val="24"/>
        </w:rPr>
        <w:t>.</w:t>
      </w:r>
    </w:p>
    <w:p w14:paraId="070289E9" w14:textId="77777777" w:rsidR="00D2771B" w:rsidRPr="004557E8" w:rsidRDefault="00D2771B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77157E3" w14:textId="77777777" w:rsidR="00080B38" w:rsidRPr="004557E8" w:rsidRDefault="00080B38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 xml:space="preserve">Изменения </w:t>
      </w:r>
      <w:r w:rsidR="00976114" w:rsidRPr="004557E8">
        <w:rPr>
          <w:rFonts w:ascii="Times New Roman" w:hAnsi="Times New Roman"/>
          <w:i/>
          <w:sz w:val="24"/>
          <w:szCs w:val="24"/>
        </w:rPr>
        <w:t xml:space="preserve">показателей </w:t>
      </w:r>
      <w:r w:rsidRPr="004557E8">
        <w:rPr>
          <w:rFonts w:ascii="Times New Roman" w:hAnsi="Times New Roman"/>
          <w:i/>
          <w:sz w:val="24"/>
          <w:szCs w:val="24"/>
        </w:rPr>
        <w:t>минеральной плотности костной ткани</w:t>
      </w:r>
      <w:r w:rsidR="00CC2EF8" w:rsidRPr="004557E8">
        <w:rPr>
          <w:rFonts w:ascii="Times New Roman" w:hAnsi="Times New Roman"/>
          <w:i/>
          <w:sz w:val="24"/>
          <w:szCs w:val="24"/>
        </w:rPr>
        <w:t xml:space="preserve"> в исследовании 108 и 110</w:t>
      </w:r>
    </w:p>
    <w:p w14:paraId="22454156" w14:textId="77777777" w:rsidR="00080B38" w:rsidRPr="004557E8" w:rsidRDefault="00080B38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В обоих исследованиях использование </w:t>
      </w:r>
      <w:bookmarkStart w:id="15" w:name="_Hlk51233616"/>
      <w:proofErr w:type="spellStart"/>
      <w:r w:rsidR="00A933D8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A933D8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="00A933D8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4"/>
          <w:szCs w:val="24"/>
        </w:rPr>
        <w:t>фумарата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bookmarkEnd w:id="15"/>
      <w:r w:rsidRPr="004557E8">
        <w:rPr>
          <w:rFonts w:ascii="Times New Roman" w:hAnsi="Times New Roman"/>
          <w:sz w:val="24"/>
          <w:szCs w:val="24"/>
        </w:rPr>
        <w:t xml:space="preserve">было связано с более низким средним процентным снижением минеральной плотности костной ткани (измерялось при помощи анализа с использованием </w:t>
      </w:r>
      <w:proofErr w:type="spellStart"/>
      <w:r w:rsidRPr="004557E8">
        <w:rPr>
          <w:rFonts w:ascii="Times New Roman" w:hAnsi="Times New Roman"/>
          <w:sz w:val="24"/>
          <w:szCs w:val="24"/>
        </w:rPr>
        <w:t>двухэнергетической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рентгеновской </w:t>
      </w:r>
      <w:proofErr w:type="spellStart"/>
      <w:r w:rsidRPr="004557E8">
        <w:rPr>
          <w:rFonts w:ascii="Times New Roman" w:hAnsi="Times New Roman"/>
          <w:sz w:val="24"/>
          <w:szCs w:val="24"/>
        </w:rPr>
        <w:t>абсорбциометрии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области костей бедер и поясницы) по сравнению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фумаратом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после 96 недель лечения.</w:t>
      </w:r>
    </w:p>
    <w:p w14:paraId="55E8379D" w14:textId="77777777" w:rsidR="00080B38" w:rsidRPr="004557E8" w:rsidRDefault="00080B38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У пациентов, которые оставались на слепом приеме препарата после Недели 96, среднее процентное изменение минеральной плотности костной ткани в каждой группе на момент Недели </w:t>
      </w:r>
      <w:r w:rsidR="00822C09" w:rsidRPr="004557E8">
        <w:rPr>
          <w:rFonts w:ascii="Times New Roman" w:hAnsi="Times New Roman"/>
          <w:sz w:val="24"/>
          <w:szCs w:val="24"/>
        </w:rPr>
        <w:t>144</w:t>
      </w:r>
      <w:r w:rsidRPr="004557E8">
        <w:rPr>
          <w:rFonts w:ascii="Times New Roman" w:hAnsi="Times New Roman"/>
          <w:sz w:val="24"/>
          <w:szCs w:val="24"/>
        </w:rPr>
        <w:t xml:space="preserve"> было сходным с результатами на момент Недели 96. В открытой фазе обоих исследований среднее процентное изменение данного параметра с </w:t>
      </w:r>
      <w:r w:rsidR="000D1C27" w:rsidRPr="004557E8">
        <w:rPr>
          <w:rFonts w:ascii="Times New Roman" w:hAnsi="Times New Roman"/>
          <w:sz w:val="24"/>
          <w:szCs w:val="24"/>
        </w:rPr>
        <w:t>н</w:t>
      </w:r>
      <w:r w:rsidRPr="004557E8">
        <w:rPr>
          <w:rFonts w:ascii="Times New Roman" w:hAnsi="Times New Roman"/>
          <w:sz w:val="24"/>
          <w:szCs w:val="24"/>
        </w:rPr>
        <w:t xml:space="preserve">едели 96 до </w:t>
      </w:r>
      <w:r w:rsidR="000D1C27" w:rsidRPr="004557E8">
        <w:rPr>
          <w:rFonts w:ascii="Times New Roman" w:hAnsi="Times New Roman"/>
          <w:sz w:val="24"/>
          <w:szCs w:val="24"/>
        </w:rPr>
        <w:t>н</w:t>
      </w:r>
      <w:r w:rsidRPr="004557E8">
        <w:rPr>
          <w:rFonts w:ascii="Times New Roman" w:hAnsi="Times New Roman"/>
          <w:sz w:val="24"/>
          <w:szCs w:val="24"/>
        </w:rPr>
        <w:t xml:space="preserve">едели </w:t>
      </w:r>
      <w:r w:rsidR="00822C09" w:rsidRPr="004557E8">
        <w:rPr>
          <w:rFonts w:ascii="Times New Roman" w:hAnsi="Times New Roman"/>
          <w:sz w:val="24"/>
          <w:szCs w:val="24"/>
        </w:rPr>
        <w:t>144</w:t>
      </w:r>
      <w:r w:rsidRPr="004557E8">
        <w:rPr>
          <w:rFonts w:ascii="Times New Roman" w:hAnsi="Times New Roman"/>
          <w:sz w:val="24"/>
          <w:szCs w:val="24"/>
        </w:rPr>
        <w:t xml:space="preserve"> у пациентов, которые продолжали принимать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>, составило +0,</w:t>
      </w:r>
      <w:r w:rsidR="00822C09" w:rsidRPr="004557E8">
        <w:rPr>
          <w:rFonts w:ascii="Times New Roman" w:hAnsi="Times New Roman"/>
          <w:sz w:val="24"/>
          <w:szCs w:val="24"/>
        </w:rPr>
        <w:t>4</w:t>
      </w:r>
      <w:r w:rsidRPr="004557E8">
        <w:rPr>
          <w:rFonts w:ascii="Times New Roman" w:hAnsi="Times New Roman"/>
          <w:sz w:val="24"/>
          <w:szCs w:val="24"/>
        </w:rPr>
        <w:t xml:space="preserve">% в области поясничного отдела позвоночника и </w:t>
      </w:r>
      <w:r w:rsidR="00822C09" w:rsidRPr="004557E8">
        <w:rPr>
          <w:rFonts w:ascii="Times New Roman" w:hAnsi="Times New Roman"/>
          <w:sz w:val="24"/>
          <w:szCs w:val="24"/>
        </w:rPr>
        <w:t>-</w:t>
      </w:r>
      <w:r w:rsidRPr="004557E8">
        <w:rPr>
          <w:rFonts w:ascii="Times New Roman" w:hAnsi="Times New Roman"/>
          <w:sz w:val="24"/>
          <w:szCs w:val="24"/>
        </w:rPr>
        <w:t>0</w:t>
      </w:r>
      <w:r w:rsidR="00822C09" w:rsidRPr="004557E8">
        <w:rPr>
          <w:rFonts w:ascii="Times New Roman" w:hAnsi="Times New Roman"/>
          <w:sz w:val="24"/>
          <w:szCs w:val="24"/>
        </w:rPr>
        <w:t>.3</w:t>
      </w:r>
      <w:r w:rsidRPr="004557E8">
        <w:rPr>
          <w:rFonts w:ascii="Times New Roman" w:hAnsi="Times New Roman"/>
          <w:sz w:val="24"/>
          <w:szCs w:val="24"/>
        </w:rPr>
        <w:t>% в области бедер, по сравнению с +</w:t>
      </w:r>
      <w:r w:rsidR="00822C09" w:rsidRPr="004557E8">
        <w:rPr>
          <w:rFonts w:ascii="Times New Roman" w:hAnsi="Times New Roman"/>
          <w:sz w:val="24"/>
          <w:szCs w:val="24"/>
        </w:rPr>
        <w:t>2</w:t>
      </w:r>
      <w:r w:rsidRPr="004557E8">
        <w:rPr>
          <w:rFonts w:ascii="Times New Roman" w:hAnsi="Times New Roman"/>
          <w:sz w:val="24"/>
          <w:szCs w:val="24"/>
        </w:rPr>
        <w:t>,</w:t>
      </w:r>
      <w:r w:rsidR="00822C09" w:rsidRPr="004557E8">
        <w:rPr>
          <w:rFonts w:ascii="Times New Roman" w:hAnsi="Times New Roman"/>
          <w:sz w:val="24"/>
          <w:szCs w:val="24"/>
        </w:rPr>
        <w:t>0</w:t>
      </w:r>
      <w:r w:rsidRPr="004557E8">
        <w:rPr>
          <w:rFonts w:ascii="Times New Roman" w:hAnsi="Times New Roman"/>
          <w:sz w:val="24"/>
          <w:szCs w:val="24"/>
        </w:rPr>
        <w:t>% в области поясничного отдела позвоночника и</w:t>
      </w:r>
      <w:r w:rsidR="00D2771B"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>+0,</w:t>
      </w:r>
      <w:r w:rsidR="00822C09" w:rsidRPr="004557E8">
        <w:rPr>
          <w:rFonts w:ascii="Times New Roman" w:hAnsi="Times New Roman"/>
          <w:sz w:val="24"/>
          <w:szCs w:val="24"/>
        </w:rPr>
        <w:t>9</w:t>
      </w:r>
      <w:r w:rsidRPr="004557E8">
        <w:rPr>
          <w:rFonts w:ascii="Times New Roman" w:hAnsi="Times New Roman"/>
          <w:sz w:val="24"/>
          <w:szCs w:val="24"/>
        </w:rPr>
        <w:t xml:space="preserve">% в области бедер у пациентов, которые перешли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фумарата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момент Недели 96.</w:t>
      </w:r>
    </w:p>
    <w:p w14:paraId="48AA64CA" w14:textId="77777777" w:rsidR="00080B38" w:rsidRPr="004557E8" w:rsidRDefault="00080B38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Изменение функционирования почек</w:t>
      </w:r>
      <w:r w:rsidR="00CC2EF8" w:rsidRPr="004557E8">
        <w:rPr>
          <w:rFonts w:ascii="Times New Roman" w:hAnsi="Times New Roman"/>
          <w:i/>
          <w:sz w:val="24"/>
          <w:szCs w:val="24"/>
        </w:rPr>
        <w:t xml:space="preserve"> в исследовании 108 и 110</w:t>
      </w:r>
    </w:p>
    <w:p w14:paraId="4BE982A8" w14:textId="77777777" w:rsidR="00080B38" w:rsidRPr="004557E8" w:rsidRDefault="00080B38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В обоих исследованиях использование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</w:t>
      </w:r>
      <w:r w:rsidR="00A933D8" w:rsidRPr="004557E8">
        <w:rPr>
          <w:rFonts w:ascii="Times New Roman" w:hAnsi="Times New Roman"/>
          <w:sz w:val="24"/>
          <w:szCs w:val="24"/>
        </w:rPr>
        <w:t>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было связано с более низкими изменениями параметров почечной безопасности (более маленькие медианные снижения в оцениваемых по формуле </w:t>
      </w:r>
      <w:proofErr w:type="spellStart"/>
      <w:r w:rsidRPr="004557E8">
        <w:rPr>
          <w:rFonts w:ascii="Times New Roman" w:hAnsi="Times New Roman"/>
          <w:sz w:val="24"/>
          <w:szCs w:val="24"/>
        </w:rPr>
        <w:t>Кокрофта-Голта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уровнях </w:t>
      </w:r>
      <w:r w:rsidR="00C93613" w:rsidRPr="004557E8">
        <w:rPr>
          <w:rFonts w:ascii="Times New Roman" w:hAnsi="Times New Roman"/>
          <w:sz w:val="24"/>
          <w:szCs w:val="24"/>
        </w:rPr>
        <w:t>КК</w:t>
      </w:r>
      <w:r w:rsidRPr="004557E8">
        <w:rPr>
          <w:rFonts w:ascii="Times New Roman" w:hAnsi="Times New Roman"/>
          <w:sz w:val="24"/>
          <w:szCs w:val="24"/>
        </w:rPr>
        <w:t xml:space="preserve"> и более маленькие медианные процентные увеличения соотношения ретинол-связывающего протеина к креатинину в моче и соотношения бета-2-микроглобулина к креатинину в моче) по сравнению с использованием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фумарата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после 96 недель лечения (также см. раздел 4.4).</w:t>
      </w:r>
    </w:p>
    <w:p w14:paraId="584648BD" w14:textId="77777777" w:rsidR="00CC2EF8" w:rsidRPr="004557E8" w:rsidRDefault="00CC2EF8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У пациентов, продолжавших лечение вслепую после 96-й недели в исследованиях 108 и 110, изменения значений почечных лабораторных параметров по сравнению с исходным уровнем в каждой группе на 144-й неделе были аналогичны таковым на 96-й неделе. В открытой фазе исследований 108 и 110, среднее (SD) изменение креатинина сыворотки с 96-й по 144-ю неделю составило +0,002 (0,0924) мг/</w:t>
      </w:r>
      <w:proofErr w:type="spellStart"/>
      <w:r w:rsidRPr="004557E8">
        <w:rPr>
          <w:rFonts w:ascii="Times New Roman" w:hAnsi="Times New Roman"/>
          <w:sz w:val="24"/>
          <w:szCs w:val="24"/>
        </w:rPr>
        <w:t>дл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тех, кто продолжал принимать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>, по сравнению с -0,018 (0,0691) мг/</w:t>
      </w:r>
      <w:proofErr w:type="spellStart"/>
      <w:r w:rsidRPr="004557E8">
        <w:rPr>
          <w:rFonts w:ascii="Times New Roman" w:hAnsi="Times New Roman"/>
          <w:sz w:val="24"/>
          <w:szCs w:val="24"/>
        </w:rPr>
        <w:t>дл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тех, кто перешел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96-й неделе. В открытой фазе медиана изменения </w:t>
      </w:r>
      <w:proofErr w:type="spellStart"/>
      <w:r w:rsidRPr="004557E8">
        <w:rPr>
          <w:rFonts w:ascii="Times New Roman" w:hAnsi="Times New Roman"/>
          <w:sz w:val="24"/>
          <w:szCs w:val="24"/>
        </w:rPr>
        <w:t>рСКФ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 96-й по 144-ю неделю составила -1,2 мл/мин у пациентов, которые продолжали принимать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по сравнению с +4,2 мл/мин у пациентов, перешедших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96-й неделе.</w:t>
      </w:r>
    </w:p>
    <w:p w14:paraId="1B614F1B" w14:textId="77777777" w:rsidR="00531239" w:rsidRPr="004557E8" w:rsidRDefault="00CB79B4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4557E8">
        <w:rPr>
          <w:rFonts w:ascii="Times New Roman" w:hAnsi="Times New Roman"/>
          <w:i/>
          <w:sz w:val="24"/>
          <w:szCs w:val="24"/>
          <w:lang w:bidi="ru-RU"/>
        </w:rPr>
        <w:t>Изменения липидов в лабораторн</w:t>
      </w:r>
      <w:r w:rsidR="00D2771B" w:rsidRPr="004557E8">
        <w:rPr>
          <w:rFonts w:ascii="Times New Roman" w:hAnsi="Times New Roman"/>
          <w:i/>
          <w:sz w:val="24"/>
          <w:szCs w:val="24"/>
          <w:lang w:bidi="ru-RU"/>
        </w:rPr>
        <w:t>ых тестах</w:t>
      </w:r>
      <w:r w:rsidRPr="004557E8">
        <w:rPr>
          <w:rFonts w:ascii="Times New Roman" w:hAnsi="Times New Roman"/>
          <w:i/>
          <w:sz w:val="24"/>
          <w:szCs w:val="24"/>
          <w:lang w:bidi="ru-RU"/>
        </w:rPr>
        <w:t xml:space="preserve"> в исследовании 108 и исследовании 110</w:t>
      </w:r>
    </w:p>
    <w:p w14:paraId="7F248D7B" w14:textId="77777777" w:rsidR="00D2771B" w:rsidRPr="004557E8" w:rsidRDefault="00CC2EF8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557E8">
        <w:rPr>
          <w:rFonts w:ascii="Times New Roman" w:hAnsi="Times New Roman"/>
          <w:sz w:val="24"/>
          <w:szCs w:val="24"/>
          <w:lang w:bidi="ru-RU"/>
        </w:rPr>
        <w:t xml:space="preserve">В объединенном анализе исследований 108 и 110 средние изменения параметров липидов натощак от исходного уровня до 96-й недели наблюдались в обеих группах лечения. Для пациентов, перешедших на открытую терапию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алафенамидом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на 96-й неделе, изменения общего холестерина, холестерина ЛПВП, холестерина ЛПНП, триглицеридов и </w:t>
      </w:r>
      <w:r w:rsidR="00675F26" w:rsidRPr="004557E8">
        <w:rPr>
          <w:rFonts w:ascii="Times New Roman" w:hAnsi="Times New Roman"/>
          <w:sz w:val="24"/>
          <w:szCs w:val="24"/>
          <w:lang w:bidi="ru-RU"/>
        </w:rPr>
        <w:t xml:space="preserve">соотношения 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общего холестерина к ЛПВП </w:t>
      </w:r>
      <w:r w:rsidR="00AE37FE" w:rsidRPr="004557E8">
        <w:rPr>
          <w:rFonts w:ascii="Times New Roman" w:hAnsi="Times New Roman"/>
          <w:sz w:val="24"/>
          <w:szCs w:val="24"/>
          <w:lang w:bidi="ru-RU"/>
        </w:rPr>
        <w:t xml:space="preserve">по сравнению с исходными данными двойного слепого исследования для пациентов, рандомизированных изначально на </w:t>
      </w:r>
      <w:proofErr w:type="spellStart"/>
      <w:r w:rsidR="00AE37FE"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="00AE37FE"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="00AE37FE"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="00AE37FE" w:rsidRPr="004557E8">
        <w:rPr>
          <w:rFonts w:ascii="Times New Roman" w:hAnsi="Times New Roman"/>
          <w:sz w:val="24"/>
          <w:szCs w:val="24"/>
          <w:lang w:bidi="ru-RU"/>
        </w:rPr>
        <w:t xml:space="preserve"> и </w:t>
      </w:r>
      <w:proofErr w:type="spellStart"/>
      <w:r w:rsidR="00AE37FE"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="00AE37FE"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="00AE37FE" w:rsidRPr="004557E8">
        <w:rPr>
          <w:rFonts w:ascii="Times New Roman" w:hAnsi="Times New Roman"/>
          <w:sz w:val="24"/>
          <w:szCs w:val="24"/>
          <w:lang w:bidi="ru-RU"/>
        </w:rPr>
        <w:t>дизопроксил</w:t>
      </w:r>
      <w:proofErr w:type="spellEnd"/>
      <w:r w:rsidR="00AE37FE" w:rsidRPr="004557E8">
        <w:rPr>
          <w:rFonts w:ascii="Times New Roman" w:hAnsi="Times New Roman"/>
          <w:sz w:val="24"/>
          <w:szCs w:val="24"/>
          <w:lang w:bidi="ru-RU"/>
        </w:rPr>
        <w:t xml:space="preserve">, на 96-й и 144-й неделе 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отражено в таблице 6. На 96-й неделе, в конце двойной слепой фазы, в группе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наблюдалось снижение медианы общего </w:t>
      </w:r>
      <w:r w:rsidRPr="004557E8">
        <w:rPr>
          <w:rFonts w:ascii="Times New Roman" w:hAnsi="Times New Roman"/>
          <w:sz w:val="24"/>
          <w:szCs w:val="24"/>
          <w:lang w:bidi="ru-RU"/>
        </w:rPr>
        <w:lastRenderedPageBreak/>
        <w:t xml:space="preserve">холестерина и ЛПВП натощак и увеличение медианы прямого ЛПНП и триглицеридов натощак, в то время как группа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продемонстрировала среднее снижение всех параметров.</w:t>
      </w:r>
    </w:p>
    <w:p w14:paraId="38549D3F" w14:textId="77777777" w:rsidR="00CC2EF8" w:rsidRPr="004557E8" w:rsidRDefault="00CC2EF8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557E8">
        <w:rPr>
          <w:rFonts w:ascii="Times New Roman" w:hAnsi="Times New Roman"/>
          <w:sz w:val="24"/>
          <w:szCs w:val="24"/>
          <w:lang w:bidi="ru-RU"/>
        </w:rPr>
        <w:t xml:space="preserve">В открытой фазе исследований 108 и 110, когда пациенты переходили на открытую терапию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алафенамидом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на 96-й неделе, параметры липидов на 144-й неделе у пациентов, которые продолжали принимать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>, были аналогичны параметрам на 96-й неделе, тогда как медиана увеличения натощак общ</w:t>
      </w:r>
      <w:r w:rsidR="00915E39" w:rsidRPr="004557E8">
        <w:rPr>
          <w:rFonts w:ascii="Times New Roman" w:hAnsi="Times New Roman"/>
          <w:sz w:val="24"/>
          <w:szCs w:val="24"/>
          <w:lang w:bidi="ru-RU"/>
        </w:rPr>
        <w:t xml:space="preserve">его </w:t>
      </w:r>
      <w:r w:rsidRPr="004557E8">
        <w:rPr>
          <w:rFonts w:ascii="Times New Roman" w:hAnsi="Times New Roman"/>
          <w:sz w:val="24"/>
          <w:szCs w:val="24"/>
          <w:lang w:bidi="ru-RU"/>
        </w:rPr>
        <w:t>холестерин</w:t>
      </w:r>
      <w:r w:rsidR="00915E39" w:rsidRPr="004557E8">
        <w:rPr>
          <w:rFonts w:ascii="Times New Roman" w:hAnsi="Times New Roman"/>
          <w:sz w:val="24"/>
          <w:szCs w:val="24"/>
          <w:lang w:bidi="ru-RU"/>
        </w:rPr>
        <w:t>а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, прямые ЛПНП, ЛПВП и триглицериды наблюдались у пациентов, перешедших с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на 96-й неделе. </w:t>
      </w:r>
      <w:r w:rsidR="00AE37FE" w:rsidRPr="004557E8">
        <w:rPr>
          <w:rFonts w:ascii="Times New Roman" w:hAnsi="Times New Roman"/>
          <w:sz w:val="24"/>
          <w:szCs w:val="24"/>
          <w:lang w:bidi="ru-RU"/>
        </w:rPr>
        <w:t xml:space="preserve">В открытой фазе медиана (Q1, Q3) изменения соотношения общего холестерина и ЛПВП с 96-й по 144-ю неделю составила 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0,0 (-0,2, 0,4) у пациентов, которые продолжали принимать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, и 0,2 (-0,2, 0,6) у пациентов, которые перешли с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bidi="ru-RU"/>
        </w:rPr>
        <w:t xml:space="preserve"> на 96-й неделе.</w:t>
      </w:r>
    </w:p>
    <w:p w14:paraId="21215394" w14:textId="77777777" w:rsidR="00CC2EF8" w:rsidRPr="004557E8" w:rsidRDefault="00CC2EF8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6901881" w14:textId="77777777" w:rsidR="00CB79B4" w:rsidRPr="004557E8" w:rsidRDefault="00CB79B4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57E8">
        <w:rPr>
          <w:rFonts w:ascii="Times New Roman" w:hAnsi="Times New Roman"/>
          <w:b/>
          <w:bCs/>
          <w:sz w:val="24"/>
          <w:szCs w:val="24"/>
          <w:lang w:bidi="ru-RU"/>
        </w:rPr>
        <w:t xml:space="preserve">Таблица 6: Медиана изменений по сравнению с двойным слепым исходным уровнем в лабораторных исследованиях липидов на 96 и 144 неделе для пациентов, которые перешли на открытый </w:t>
      </w:r>
      <w:proofErr w:type="spellStart"/>
      <w:r w:rsidRPr="004557E8">
        <w:rPr>
          <w:rFonts w:ascii="Times New Roman" w:hAnsi="Times New Roman"/>
          <w:b/>
          <w:bCs/>
          <w:sz w:val="24"/>
          <w:szCs w:val="24"/>
          <w:lang w:bidi="ru-RU"/>
        </w:rPr>
        <w:t>тенофовир</w:t>
      </w:r>
      <w:proofErr w:type="spellEnd"/>
      <w:r w:rsidRPr="004557E8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proofErr w:type="spellStart"/>
      <w:r w:rsidRPr="004557E8">
        <w:rPr>
          <w:rFonts w:ascii="Times New Roman" w:hAnsi="Times New Roman"/>
          <w:b/>
          <w:bCs/>
          <w:sz w:val="24"/>
          <w:szCs w:val="24"/>
          <w:lang w:bidi="ru-RU"/>
        </w:rPr>
        <w:t>алафенамид</w:t>
      </w:r>
      <w:proofErr w:type="spellEnd"/>
      <w:r w:rsidRPr="004557E8">
        <w:rPr>
          <w:rFonts w:ascii="Times New Roman" w:hAnsi="Times New Roman"/>
          <w:b/>
          <w:bCs/>
          <w:sz w:val="24"/>
          <w:szCs w:val="24"/>
          <w:lang w:bidi="ru-RU"/>
        </w:rPr>
        <w:t xml:space="preserve"> на 96 неделе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125"/>
        <w:gridCol w:w="2267"/>
        <w:gridCol w:w="2263"/>
      </w:tblGrid>
      <w:tr w:rsidR="00CB79B4" w:rsidRPr="004557E8" w14:paraId="4C37D0D0" w14:textId="77777777" w:rsidTr="00D84ACF">
        <w:tc>
          <w:tcPr>
            <w:tcW w:w="2298" w:type="dxa"/>
            <w:shd w:val="clear" w:color="auto" w:fill="auto"/>
            <w:vAlign w:val="center"/>
          </w:tcPr>
          <w:p w14:paraId="3108C822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655" w:type="dxa"/>
            <w:gridSpan w:val="3"/>
            <w:shd w:val="clear" w:color="auto" w:fill="auto"/>
            <w:vAlign w:val="center"/>
          </w:tcPr>
          <w:p w14:paraId="38F28DD4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ТАФ-ТАФ 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(N=360)</w:t>
            </w:r>
          </w:p>
        </w:tc>
      </w:tr>
      <w:tr w:rsidR="00CB79B4" w:rsidRPr="004557E8" w14:paraId="2BE10D9F" w14:textId="77777777" w:rsidTr="00D84ACF">
        <w:tc>
          <w:tcPr>
            <w:tcW w:w="2298" w:type="dxa"/>
            <w:shd w:val="clear" w:color="auto" w:fill="auto"/>
            <w:vAlign w:val="center"/>
          </w:tcPr>
          <w:p w14:paraId="14528A64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3D93D51A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Двойная слепая базовая линия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B6317D1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Неделя 96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39590CE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Неделя 144</w:t>
            </w:r>
          </w:p>
        </w:tc>
      </w:tr>
      <w:tr w:rsidR="00CB79B4" w:rsidRPr="004557E8" w14:paraId="6D61B2C9" w14:textId="77777777" w:rsidTr="00D84ACF">
        <w:tc>
          <w:tcPr>
            <w:tcW w:w="2298" w:type="dxa"/>
            <w:shd w:val="clear" w:color="auto" w:fill="auto"/>
            <w:vAlign w:val="center"/>
          </w:tcPr>
          <w:p w14:paraId="73D45DFB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3526627E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Медиана (Q1, Q3)</w:t>
            </w:r>
          </w:p>
          <w:p w14:paraId="1C9D3C70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7246529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Медианное изменение (Q1, Q3)</w:t>
            </w:r>
          </w:p>
          <w:p w14:paraId="2A49B2E2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604B89" w14:textId="77777777" w:rsidR="00AE37FE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Медианное изменение (Q1, Q3)</w:t>
            </w:r>
          </w:p>
          <w:p w14:paraId="513EB2E4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)</w:t>
            </w:r>
          </w:p>
        </w:tc>
      </w:tr>
      <w:tr w:rsidR="00CB79B4" w:rsidRPr="004557E8" w14:paraId="118EED73" w14:textId="77777777" w:rsidTr="00D84ACF">
        <w:tc>
          <w:tcPr>
            <w:tcW w:w="2298" w:type="dxa"/>
            <w:shd w:val="clear" w:color="auto" w:fill="auto"/>
            <w:vAlign w:val="center"/>
          </w:tcPr>
          <w:p w14:paraId="5814C0AE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Общий холестерин (натощак)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F30B033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185 (166, 210)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9E457F6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0 (-18, 17)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0F647D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0 (-16, 18)</w:t>
            </w:r>
          </w:p>
        </w:tc>
      </w:tr>
      <w:tr w:rsidR="00CB79B4" w:rsidRPr="004557E8" w14:paraId="31D38804" w14:textId="77777777" w:rsidTr="00D84ACF">
        <w:tc>
          <w:tcPr>
            <w:tcW w:w="2298" w:type="dxa"/>
            <w:shd w:val="clear" w:color="auto" w:fill="auto"/>
            <w:vAlign w:val="center"/>
          </w:tcPr>
          <w:p w14:paraId="333806AE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ЛПВП-холестерин (натощак)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7651A01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59 (49, 72)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CA35534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-5 (-12,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1)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a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3108989D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-5 (-12,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2)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b</w:t>
            </w:r>
            <w:proofErr w:type="gramEnd"/>
          </w:p>
        </w:tc>
      </w:tr>
      <w:tr w:rsidR="00CB79B4" w:rsidRPr="004557E8" w14:paraId="08E42E6F" w14:textId="77777777" w:rsidTr="00D84ACF">
        <w:tc>
          <w:tcPr>
            <w:tcW w:w="2298" w:type="dxa"/>
            <w:shd w:val="clear" w:color="auto" w:fill="auto"/>
            <w:vAlign w:val="center"/>
          </w:tcPr>
          <w:p w14:paraId="1B15D826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ЛПНП-холестерин (натощак)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011E35A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113 (95, 137)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94BBA5A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6 (-8,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21)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a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2938F38D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8 (-6,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24)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b</w:t>
            </w:r>
            <w:proofErr w:type="gramEnd"/>
          </w:p>
        </w:tc>
      </w:tr>
      <w:tr w:rsidR="00CB79B4" w:rsidRPr="004557E8" w14:paraId="17686455" w14:textId="77777777" w:rsidTr="00D84ACF">
        <w:tc>
          <w:tcPr>
            <w:tcW w:w="2298" w:type="dxa"/>
            <w:shd w:val="clear" w:color="auto" w:fill="auto"/>
            <w:vAlign w:val="center"/>
          </w:tcPr>
          <w:p w14:paraId="34D6135E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Триглицериды (натощак)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3B1DC16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87 (67, 122)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954F0CA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8 (-12,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28)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a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3AA64316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11 (-11,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40)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b</w:t>
            </w:r>
            <w:proofErr w:type="gramEnd"/>
          </w:p>
        </w:tc>
      </w:tr>
      <w:tr w:rsidR="00CB79B4" w:rsidRPr="004557E8" w14:paraId="37EA7BCA" w14:textId="77777777" w:rsidTr="00D84ACF">
        <w:tc>
          <w:tcPr>
            <w:tcW w:w="2298" w:type="dxa"/>
            <w:shd w:val="clear" w:color="auto" w:fill="auto"/>
            <w:vAlign w:val="center"/>
          </w:tcPr>
          <w:p w14:paraId="1ADDD358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Отношение общего холестерина к ЛПВП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B018EDD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3.1 (2.6, 3.9)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5D2A175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0.2 (0.0,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0.6)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a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4C88D1EE" w14:textId="77777777" w:rsidR="00CB79B4" w:rsidRPr="004557E8" w:rsidRDefault="001F4AC0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 xml:space="preserve">0.3 (0.0,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0.7)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b</w:t>
            </w:r>
            <w:proofErr w:type="gramEnd"/>
          </w:p>
        </w:tc>
      </w:tr>
      <w:tr w:rsidR="00D84ACF" w:rsidRPr="004557E8" w14:paraId="6278767D" w14:textId="77777777" w:rsidTr="00D84ACF">
        <w:tc>
          <w:tcPr>
            <w:tcW w:w="2298" w:type="dxa"/>
            <w:shd w:val="clear" w:color="auto" w:fill="auto"/>
            <w:vAlign w:val="center"/>
          </w:tcPr>
          <w:p w14:paraId="399BD68A" w14:textId="77777777" w:rsidR="00D84ACF" w:rsidRPr="004557E8" w:rsidRDefault="00D84ACF" w:rsidP="00D8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6655" w:type="dxa"/>
            <w:gridSpan w:val="3"/>
            <w:shd w:val="clear" w:color="auto" w:fill="auto"/>
            <w:vAlign w:val="center"/>
          </w:tcPr>
          <w:p w14:paraId="2A824406" w14:textId="77777777" w:rsidR="00D84ACF" w:rsidRPr="004557E8" w:rsidRDefault="00D84ACF" w:rsidP="00D84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ТДФ-ТАФ (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N=180)</w:t>
            </w:r>
          </w:p>
        </w:tc>
      </w:tr>
      <w:tr w:rsidR="00CB79B4" w:rsidRPr="004557E8" w14:paraId="71AA896A" w14:textId="77777777" w:rsidTr="00D84ACF">
        <w:tc>
          <w:tcPr>
            <w:tcW w:w="2298" w:type="dxa"/>
            <w:shd w:val="clear" w:color="auto" w:fill="auto"/>
            <w:vAlign w:val="center"/>
          </w:tcPr>
          <w:p w14:paraId="42669138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73DDFC30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Двойная слепая базовая линия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620BE64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Неделя 96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134CD08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Неделя 144</w:t>
            </w:r>
          </w:p>
        </w:tc>
      </w:tr>
      <w:tr w:rsidR="00CB79B4" w:rsidRPr="004557E8" w14:paraId="1065C5CC" w14:textId="77777777" w:rsidTr="00D84ACF">
        <w:tc>
          <w:tcPr>
            <w:tcW w:w="2298" w:type="dxa"/>
            <w:shd w:val="clear" w:color="auto" w:fill="auto"/>
            <w:vAlign w:val="center"/>
          </w:tcPr>
          <w:p w14:paraId="36669BB9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970D78F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Медиана (Q1, Q3)</w:t>
            </w:r>
          </w:p>
          <w:p w14:paraId="190A4A24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CAFB9A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Медианное изменение (Q1, Q3)</w:t>
            </w:r>
          </w:p>
          <w:p w14:paraId="18232973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F9E6D7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Медианное изменение (Q1, Q3)</w:t>
            </w:r>
          </w:p>
          <w:p w14:paraId="69197336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)</w:t>
            </w:r>
          </w:p>
        </w:tc>
      </w:tr>
      <w:tr w:rsidR="00CB79B4" w:rsidRPr="004557E8" w14:paraId="2A9E2ABE" w14:textId="77777777" w:rsidTr="00D84ACF">
        <w:tc>
          <w:tcPr>
            <w:tcW w:w="2298" w:type="dxa"/>
            <w:shd w:val="clear" w:color="auto" w:fill="auto"/>
            <w:vAlign w:val="center"/>
          </w:tcPr>
          <w:p w14:paraId="2B61DB28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Общий холестерин (натощак)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4216246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189 (163, 215)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FC401FA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-23 (-40, -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1)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а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4D8CB8E6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1 (-17, 20)</w:t>
            </w:r>
          </w:p>
        </w:tc>
      </w:tr>
      <w:tr w:rsidR="00CB79B4" w:rsidRPr="004557E8" w14:paraId="570527D3" w14:textId="77777777" w:rsidTr="00D84ACF">
        <w:tc>
          <w:tcPr>
            <w:tcW w:w="2298" w:type="dxa"/>
            <w:shd w:val="clear" w:color="auto" w:fill="auto"/>
            <w:vAlign w:val="center"/>
          </w:tcPr>
          <w:p w14:paraId="10DA970A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ЛПВП-холестерин (натощак)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CE11035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61 (49, 72)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1379639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-12 (-19, -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3)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bidi="ru-RU"/>
              </w:rPr>
              <w:t>а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5C8AE1CC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-8 (-15, -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1)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b</w:t>
            </w:r>
            <w:proofErr w:type="gramEnd"/>
          </w:p>
        </w:tc>
      </w:tr>
      <w:tr w:rsidR="00CB79B4" w:rsidRPr="004557E8" w14:paraId="5DEE3A27" w14:textId="77777777" w:rsidTr="00D84ACF">
        <w:tc>
          <w:tcPr>
            <w:tcW w:w="2298" w:type="dxa"/>
            <w:shd w:val="clear" w:color="auto" w:fill="auto"/>
            <w:vAlign w:val="center"/>
          </w:tcPr>
          <w:p w14:paraId="7BD5A5E3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ЛПНП-холестерин (натощак)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E49E64E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120 (95, 140)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4152D75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 xml:space="preserve">-7 (-25,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8)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a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3B7DA34B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 xml:space="preserve">9 (-5,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26)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b</w:t>
            </w:r>
            <w:proofErr w:type="gramEnd"/>
          </w:p>
        </w:tc>
      </w:tr>
      <w:tr w:rsidR="00CB79B4" w:rsidRPr="004557E8" w14:paraId="4304E242" w14:textId="77777777" w:rsidTr="00D84ACF">
        <w:tc>
          <w:tcPr>
            <w:tcW w:w="2298" w:type="dxa"/>
            <w:shd w:val="clear" w:color="auto" w:fill="auto"/>
            <w:vAlign w:val="center"/>
          </w:tcPr>
          <w:p w14:paraId="1739D611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Триглицериды (натощак)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0D6133C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89 (69, 114)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AC9C18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 xml:space="preserve">-11 (-31,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11)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a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2BED2082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 xml:space="preserve">14 (-10,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43)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b</w:t>
            </w:r>
            <w:proofErr w:type="gramEnd"/>
          </w:p>
        </w:tc>
      </w:tr>
      <w:tr w:rsidR="00CB79B4" w:rsidRPr="004557E8" w14:paraId="7335B839" w14:textId="77777777" w:rsidTr="00D84ACF">
        <w:tc>
          <w:tcPr>
            <w:tcW w:w="2298" w:type="dxa"/>
            <w:shd w:val="clear" w:color="auto" w:fill="auto"/>
            <w:vAlign w:val="center"/>
          </w:tcPr>
          <w:p w14:paraId="2D68DF4F" w14:textId="77777777" w:rsidR="00CB79B4" w:rsidRPr="004557E8" w:rsidRDefault="00CB79B4" w:rsidP="00AE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Отношение общего холестерина к ЛПВП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B4BB1AB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3.1 (2.5, 3.7)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1EBAA0A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 xml:space="preserve">0.2 (-0.1,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0.7)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a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18E70EF6" w14:textId="77777777" w:rsidR="00CB79B4" w:rsidRPr="004557E8" w:rsidRDefault="00785365" w:rsidP="00AE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 xml:space="preserve">0.4 (0.0,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  <w:t>1.0)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b</w:t>
            </w:r>
            <w:proofErr w:type="gramEnd"/>
          </w:p>
        </w:tc>
      </w:tr>
    </w:tbl>
    <w:p w14:paraId="6EE96022" w14:textId="77777777" w:rsidR="000229E0" w:rsidRPr="004557E8" w:rsidRDefault="000229E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ТДФ =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r w:rsidR="00EE20ED" w:rsidRPr="004557E8">
        <w:rPr>
          <w:rFonts w:ascii="Times New Roman" w:hAnsi="Times New Roman"/>
          <w:sz w:val="20"/>
          <w:szCs w:val="20"/>
        </w:rPr>
        <w:t>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дизопроксил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фумарат</w:t>
      </w:r>
      <w:proofErr w:type="spellEnd"/>
    </w:p>
    <w:p w14:paraId="0A19FB41" w14:textId="77777777" w:rsidR="000229E0" w:rsidRPr="004557E8" w:rsidRDefault="000229E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lastRenderedPageBreak/>
        <w:t xml:space="preserve">ТАФ =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</w:t>
      </w:r>
      <w:proofErr w:type="spellEnd"/>
    </w:p>
    <w:p w14:paraId="21C8ACAE" w14:textId="77777777" w:rsidR="000229E0" w:rsidRPr="004557E8" w:rsidRDefault="000229E0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а - P-значение было рассчитано для изменения от двойного слепого исходного уровня на 96 неделе на основе критерия знакового ранга </w:t>
      </w:r>
      <w:proofErr w:type="spellStart"/>
      <w:r w:rsidRPr="004557E8">
        <w:rPr>
          <w:rFonts w:ascii="Times New Roman" w:hAnsi="Times New Roman"/>
          <w:sz w:val="20"/>
          <w:szCs w:val="20"/>
        </w:rPr>
        <w:t>Уилкоксона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и было статистически значимым (p &lt;0,001).</w:t>
      </w:r>
    </w:p>
    <w:p w14:paraId="2A954E4D" w14:textId="77777777" w:rsidR="00CB79B4" w:rsidRPr="004557E8" w:rsidRDefault="000229E0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  <w:r w:rsidRPr="004557E8">
        <w:rPr>
          <w:rFonts w:ascii="Times New Roman" w:hAnsi="Times New Roman"/>
          <w:sz w:val="20"/>
          <w:szCs w:val="20"/>
          <w:lang w:val="en-US" w:bidi="ru-RU"/>
        </w:rPr>
        <w:t>b</w:t>
      </w:r>
      <w:r w:rsidRPr="004557E8">
        <w:rPr>
          <w:rFonts w:ascii="Times New Roman" w:hAnsi="Times New Roman"/>
          <w:sz w:val="20"/>
          <w:szCs w:val="20"/>
          <w:lang w:bidi="ru-RU"/>
        </w:rPr>
        <w:t xml:space="preserve"> - </w:t>
      </w:r>
      <w:r w:rsidR="00F10654" w:rsidRPr="004557E8">
        <w:rPr>
          <w:rFonts w:ascii="Times New Roman" w:hAnsi="Times New Roman"/>
          <w:sz w:val="20"/>
          <w:szCs w:val="20"/>
          <w:lang w:val="en-US" w:bidi="ru-RU"/>
        </w:rPr>
        <w:t>P</w:t>
      </w:r>
      <w:r w:rsidR="00F10654" w:rsidRPr="004557E8">
        <w:rPr>
          <w:rFonts w:ascii="Times New Roman" w:hAnsi="Times New Roman"/>
          <w:sz w:val="20"/>
          <w:szCs w:val="20"/>
          <w:lang w:bidi="ru-RU"/>
        </w:rPr>
        <w:t xml:space="preserve">-значение было рассчитано для изменения от двойного слепого исходного уровня на 144 неделе на основе критерия знакового ранга </w:t>
      </w:r>
      <w:proofErr w:type="spellStart"/>
      <w:r w:rsidR="00F10654" w:rsidRPr="004557E8">
        <w:rPr>
          <w:rFonts w:ascii="Times New Roman" w:hAnsi="Times New Roman"/>
          <w:sz w:val="20"/>
          <w:szCs w:val="20"/>
          <w:lang w:bidi="ru-RU"/>
        </w:rPr>
        <w:t>Уилкоксона</w:t>
      </w:r>
      <w:proofErr w:type="spellEnd"/>
      <w:r w:rsidR="00F10654" w:rsidRPr="004557E8">
        <w:rPr>
          <w:rFonts w:ascii="Times New Roman" w:hAnsi="Times New Roman"/>
          <w:sz w:val="20"/>
          <w:szCs w:val="20"/>
          <w:lang w:bidi="ru-RU"/>
        </w:rPr>
        <w:t xml:space="preserve"> и было статистически значимым (</w:t>
      </w:r>
      <w:r w:rsidR="00F10654" w:rsidRPr="004557E8">
        <w:rPr>
          <w:rFonts w:ascii="Times New Roman" w:hAnsi="Times New Roman"/>
          <w:sz w:val="20"/>
          <w:szCs w:val="20"/>
          <w:lang w:val="en-US" w:bidi="ru-RU"/>
        </w:rPr>
        <w:t>p</w:t>
      </w:r>
      <w:r w:rsidR="00F10654" w:rsidRPr="004557E8">
        <w:rPr>
          <w:rFonts w:ascii="Times New Roman" w:hAnsi="Times New Roman"/>
          <w:sz w:val="20"/>
          <w:szCs w:val="20"/>
          <w:lang w:bidi="ru-RU"/>
        </w:rPr>
        <w:t xml:space="preserve"> &lt;0,001).</w:t>
      </w:r>
    </w:p>
    <w:p w14:paraId="3CE9B790" w14:textId="77777777" w:rsidR="00D2771B" w:rsidRPr="004557E8" w:rsidRDefault="00D2771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6D33F61D" w14:textId="77777777" w:rsidR="00F10654" w:rsidRPr="004557E8" w:rsidRDefault="00F10654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557E8">
        <w:rPr>
          <w:rFonts w:ascii="Times New Roman" w:hAnsi="Times New Roman"/>
          <w:i/>
          <w:sz w:val="24"/>
          <w:szCs w:val="24"/>
          <w:lang w:eastAsia="ru-RU"/>
        </w:rPr>
        <w:t>Взрослые пациенты с вирусологической супрессией в исследовании 4018</w:t>
      </w:r>
    </w:p>
    <w:p w14:paraId="7D759877" w14:textId="77777777" w:rsidR="00C35A32" w:rsidRPr="004557E8" w:rsidRDefault="00C35A32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 xml:space="preserve">Эффективность и безопасность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у взрослых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вирусологически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подавленным хроническим гепатитом В основаны на 48-недельных данных рандомизированного двойного слепого исследования 4018 с активным контролем (N=243 -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; N=245 –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), включая данные пациентов, участвовавших в открытой фазе исследования 4018 с 48-й по 96-ю неделю (N=235 продолжали принимать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[TAF-TAF]; N=237 перешли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48 неделе [ТДФ-ТАФ]).</w:t>
      </w:r>
    </w:p>
    <w:p w14:paraId="2366F6A8" w14:textId="77777777" w:rsidR="00F10654" w:rsidRPr="004557E8" w:rsidRDefault="00F10654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4557E8">
        <w:rPr>
          <w:rFonts w:ascii="Times New Roman" w:hAnsi="Times New Roman"/>
          <w:i/>
          <w:iCs/>
          <w:sz w:val="24"/>
          <w:szCs w:val="24"/>
          <w:lang w:eastAsia="ru-RU"/>
        </w:rPr>
        <w:t>исследование "4018"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были включены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вирусологически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подавленные взрослые с хроническим гепатитом В (N=488), которые ранее получали 245 мг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один раз в день в течение не менее 12 месяцев, с 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ДНК вируса гепатита В </w:t>
      </w:r>
      <w:r w:rsidRPr="004557E8">
        <w:rPr>
          <w:rFonts w:ascii="Times New Roman" w:hAnsi="Times New Roman"/>
          <w:sz w:val="24"/>
          <w:szCs w:val="24"/>
          <w:lang w:eastAsia="ru-RU"/>
        </w:rPr>
        <w:t>&lt; нижн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>его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предел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>а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количественного определения (LLOQ) по местной лабораторной оценке в течение не менее 12 недель до скрининга и 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ДНК вируса гепатита В </w:t>
      </w:r>
      <w:r w:rsidR="00D2771B" w:rsidRPr="004557E8">
        <w:rPr>
          <w:rFonts w:ascii="Times New Roman" w:hAnsi="Times New Roman"/>
          <w:sz w:val="24"/>
          <w:szCs w:val="24"/>
          <w:lang w:eastAsia="ru-RU"/>
        </w:rPr>
        <w:t>&lt;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20 МЕ/мл при скрининге. Пациенты были стратифицированы по статусу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BE5738" w:rsidRPr="004557E8">
        <w:rPr>
          <w:rFonts w:ascii="Times New Roman" w:hAnsi="Times New Roman"/>
          <w:sz w:val="24"/>
          <w:szCs w:val="24"/>
          <w:lang w:val="en-US" w:eastAsia="ru-RU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-положительный или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>-отрицательный) и во</w:t>
      </w:r>
      <w:r w:rsidR="003E017A" w:rsidRPr="004557E8">
        <w:rPr>
          <w:rFonts w:ascii="Times New Roman" w:hAnsi="Times New Roman"/>
          <w:sz w:val="24"/>
          <w:szCs w:val="24"/>
          <w:lang w:eastAsia="ru-RU"/>
        </w:rPr>
        <w:t>зрасту (≥50 или &lt;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50 лет) и рандомизированы в соотношении 1:1, чтобы перейти на 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дозировку 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25 мг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(N=243) или остаться на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 дозировке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245 мг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с приемом 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один раз в день (N=245). Средний возраст составил 51 год (22% были старше 60 лет), 71%-мужчины, 82% - азиаты, 14% - 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>европеоидной расы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и 68% - </w:t>
      </w:r>
      <w:proofErr w:type="spellStart"/>
      <w:r w:rsidR="00BE5738" w:rsidRPr="004557E8">
        <w:rPr>
          <w:rFonts w:ascii="Times New Roman" w:hAnsi="Times New Roman"/>
          <w:sz w:val="24"/>
          <w:szCs w:val="24"/>
          <w:lang w:val="en-US" w:eastAsia="ru-RU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-отрицательные. Исходно медиана продолжительности предшествующего лечения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составила 220 и 224 недели в группах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соответственно. Предыдущее лечение противовирусными препаратами также включало интерферон (N=63),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ламивудин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(N=191),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адефовир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дипивоксил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(N=185),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энтекавир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(N=99),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телбивудин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(N=48) или другие (N=23).</w:t>
      </w:r>
      <w:r w:rsidR="004001DF"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Исходно средний уровень АЛТ в сыворотке крови составлял 27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/л, медиана </w:t>
      </w:r>
      <w:proofErr w:type="spellStart"/>
      <w:r w:rsidR="009561FB" w:rsidRPr="004557E8">
        <w:rPr>
          <w:rFonts w:ascii="Times New Roman" w:hAnsi="Times New Roman"/>
          <w:iCs/>
          <w:sz w:val="24"/>
          <w:szCs w:val="24"/>
        </w:rPr>
        <w:t>рСКФ</w:t>
      </w:r>
      <w:proofErr w:type="spellEnd"/>
      <w:r w:rsidR="009561FB" w:rsidRPr="004557E8">
        <w:rPr>
          <w:rFonts w:ascii="Times New Roman" w:hAnsi="Times New Roman"/>
          <w:iCs/>
          <w:sz w:val="24"/>
          <w:szCs w:val="24"/>
        </w:rPr>
        <w:t xml:space="preserve"> </w:t>
      </w:r>
      <w:r w:rsidR="00D2771B" w:rsidRPr="004557E8">
        <w:rPr>
          <w:rFonts w:ascii="Times New Roman" w:hAnsi="Times New Roman"/>
          <w:sz w:val="24"/>
          <w:szCs w:val="24"/>
          <w:lang w:eastAsia="ru-RU"/>
        </w:rPr>
        <w:t>по Кокрофту-Голту-90,5 мл/</w:t>
      </w:r>
      <w:r w:rsidRPr="004557E8">
        <w:rPr>
          <w:rFonts w:ascii="Times New Roman" w:hAnsi="Times New Roman"/>
          <w:sz w:val="24"/>
          <w:szCs w:val="24"/>
          <w:lang w:eastAsia="ru-RU"/>
        </w:rPr>
        <w:t>мин; 16% пациентов имели в анамнезе цирроз печени.</w:t>
      </w:r>
    </w:p>
    <w:p w14:paraId="40115463" w14:textId="77777777" w:rsidR="00F10654" w:rsidRPr="004557E8" w:rsidRDefault="00F10654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 xml:space="preserve">Первичной конечной точкой эффективности была доля пациентов с уровнем 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ДНК вируса гепатита В </w:t>
      </w:r>
      <w:proofErr w:type="spellStart"/>
      <w:r w:rsidR="00D2771B" w:rsidRPr="004557E8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r w:rsidR="00D2771B" w:rsidRPr="004557E8">
        <w:rPr>
          <w:rFonts w:ascii="Times New Roman" w:hAnsi="Times New Roman"/>
          <w:sz w:val="24"/>
          <w:szCs w:val="24"/>
          <w:lang w:eastAsia="ru-RU"/>
        </w:rPr>
        <w:t xml:space="preserve"> плазме крови ≥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20 МЕ/мл на 48-й неделе (как определено модифицированным алгоритмом моментального снимка FDA США). Дополнительные конечные точки эффективности включали долю пациентов с уровнем 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ДНК вируса гепатита В </w:t>
      </w:r>
      <w:r w:rsidR="00D2771B" w:rsidRPr="004557E8">
        <w:rPr>
          <w:rFonts w:ascii="Times New Roman" w:hAnsi="Times New Roman"/>
          <w:sz w:val="24"/>
          <w:szCs w:val="24"/>
          <w:lang w:eastAsia="ru-RU"/>
        </w:rPr>
        <w:t>&lt;</w:t>
      </w:r>
      <w:r w:rsidRPr="004557E8">
        <w:rPr>
          <w:rFonts w:ascii="Times New Roman" w:hAnsi="Times New Roman"/>
          <w:sz w:val="24"/>
          <w:szCs w:val="24"/>
          <w:lang w:eastAsia="ru-RU"/>
        </w:rPr>
        <w:t>20 МЕ/мл</w:t>
      </w:r>
      <w:r w:rsidR="00127471" w:rsidRPr="004557E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561FB" w:rsidRPr="004557E8">
        <w:rPr>
          <w:rFonts w:ascii="Times New Roman" w:hAnsi="Times New Roman"/>
          <w:sz w:val="24"/>
          <w:szCs w:val="24"/>
          <w:lang w:eastAsia="ru-RU"/>
        </w:rPr>
        <w:t xml:space="preserve">нормальным уровнем 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АЛТ и нормализацию АЛТ, потерю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HBsAg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сероконверсию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, а также потерю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сероконверсию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не уступал по доле испытуемых с 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ДНК вируса гепатита В </w:t>
      </w:r>
      <w:r w:rsidR="00D2771B" w:rsidRPr="004557E8">
        <w:rPr>
          <w:rFonts w:ascii="Times New Roman" w:hAnsi="Times New Roman"/>
          <w:sz w:val="24"/>
          <w:szCs w:val="24"/>
          <w:lang w:eastAsia="ru-RU"/>
        </w:rPr>
        <w:t>≥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20 МЕ/мл на 48-й неделе по сравнению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>, оцененным модифицированным алгоритмом моментального снимка FDA США. Результаты лечения (</w:t>
      </w:r>
      <w:r w:rsidR="00BE5738" w:rsidRPr="004557E8">
        <w:rPr>
          <w:rFonts w:ascii="Times New Roman" w:hAnsi="Times New Roman"/>
          <w:sz w:val="24"/>
          <w:szCs w:val="24"/>
          <w:lang w:eastAsia="ru-RU"/>
        </w:rPr>
        <w:t xml:space="preserve">ДНК вируса гепатита В </w:t>
      </w:r>
      <w:r w:rsidR="00D2771B" w:rsidRPr="004557E8">
        <w:rPr>
          <w:rFonts w:ascii="Times New Roman" w:hAnsi="Times New Roman"/>
          <w:sz w:val="24"/>
          <w:szCs w:val="24"/>
          <w:lang w:eastAsia="ru-RU"/>
        </w:rPr>
        <w:t>&lt;20 МЕ/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мл по отсутствию=неудача) на 48-й неделе между группами лечения были одинаковыми в разных подгруппах по возрасту, полу, расе, исходному статусу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АЛТ.</w:t>
      </w:r>
    </w:p>
    <w:p w14:paraId="73DF2D22" w14:textId="77777777" w:rsidR="00666A68" w:rsidRPr="004557E8" w:rsidRDefault="00666A68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>Результаты лечения в исследовании 4018 на 48</w:t>
      </w:r>
      <w:r w:rsidR="009561FB" w:rsidRPr="004557E8">
        <w:rPr>
          <w:rFonts w:ascii="Times New Roman" w:hAnsi="Times New Roman"/>
          <w:sz w:val="24"/>
          <w:szCs w:val="24"/>
          <w:lang w:eastAsia="ru-RU"/>
        </w:rPr>
        <w:t>-й и 96-й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недел</w:t>
      </w:r>
      <w:r w:rsidR="009561FB" w:rsidRPr="004557E8">
        <w:rPr>
          <w:rFonts w:ascii="Times New Roman" w:hAnsi="Times New Roman"/>
          <w:sz w:val="24"/>
          <w:szCs w:val="24"/>
          <w:lang w:eastAsia="ru-RU"/>
        </w:rPr>
        <w:t>ях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представлены в таблице 7 и таблице 8.</w:t>
      </w:r>
    </w:p>
    <w:p w14:paraId="53D36304" w14:textId="77777777" w:rsidR="00D2771B" w:rsidRPr="004557E8" w:rsidRDefault="00D2771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8A7F6B" w14:textId="77777777" w:rsidR="00666A68" w:rsidRPr="004557E8" w:rsidRDefault="00666A68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>Таблица 7: Параметры эффективности ДНК вируса гепатита В на неделе 48</w:t>
      </w:r>
      <w:proofErr w:type="gramStart"/>
      <w:r w:rsidRPr="004557E8">
        <w:rPr>
          <w:rFonts w:ascii="Times New Roman" w:hAnsi="Times New Roman"/>
          <w:sz w:val="24"/>
          <w:szCs w:val="24"/>
          <w:vertAlign w:val="superscript"/>
          <w:lang w:eastAsia="ru-RU"/>
        </w:rPr>
        <w:t>a,b</w:t>
      </w:r>
      <w:proofErr w:type="gramEnd"/>
      <w:r w:rsidR="00DB6AE3" w:rsidRPr="004557E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DB6AE3" w:rsidRPr="004557E8">
        <w:rPr>
          <w:rFonts w:ascii="Times New Roman" w:hAnsi="Times New Roman"/>
          <w:sz w:val="24"/>
          <w:szCs w:val="24"/>
          <w:lang w:eastAsia="ru-RU"/>
        </w:rPr>
        <w:t>и неделе 96</w:t>
      </w:r>
      <w:r w:rsidR="003602F9" w:rsidRPr="004557E8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b</w:t>
      </w:r>
      <w:r w:rsidR="003602F9" w:rsidRPr="004557E8">
        <w:rPr>
          <w:rFonts w:ascii="Times New Roman" w:hAnsi="Times New Roman"/>
          <w:sz w:val="24"/>
          <w:szCs w:val="24"/>
          <w:vertAlign w:val="superscript"/>
          <w:lang w:eastAsia="ru-RU"/>
        </w:rPr>
        <w:t>,</w:t>
      </w:r>
      <w:r w:rsidR="003602F9" w:rsidRPr="004557E8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c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418"/>
        <w:gridCol w:w="1411"/>
      </w:tblGrid>
      <w:tr w:rsidR="004001DF" w:rsidRPr="004557E8" w14:paraId="67662054" w14:textId="77777777" w:rsidTr="00121228">
        <w:tc>
          <w:tcPr>
            <w:tcW w:w="3969" w:type="dxa"/>
            <w:shd w:val="clear" w:color="auto" w:fill="auto"/>
            <w:vAlign w:val="center"/>
          </w:tcPr>
          <w:p w14:paraId="2F472C73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8105ED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ТАФ</w:t>
            </w:r>
          </w:p>
          <w:p w14:paraId="68CD403E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  <w:t>N=243</w:t>
            </w: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680FD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ТДФ</w:t>
            </w:r>
          </w:p>
          <w:p w14:paraId="512F240E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  <w:t>(N=245)</w:t>
            </w:r>
          </w:p>
        </w:tc>
        <w:tc>
          <w:tcPr>
            <w:tcW w:w="1418" w:type="dxa"/>
            <w:vAlign w:val="center"/>
          </w:tcPr>
          <w:p w14:paraId="18870521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ТАФ-ТАФ</w:t>
            </w:r>
          </w:p>
          <w:p w14:paraId="0EDC86E0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  <w:t>(N=243)</w:t>
            </w:r>
          </w:p>
        </w:tc>
        <w:tc>
          <w:tcPr>
            <w:tcW w:w="1411" w:type="dxa"/>
            <w:vAlign w:val="center"/>
          </w:tcPr>
          <w:p w14:paraId="3D2F0895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ТДФ-ТАФ</w:t>
            </w:r>
          </w:p>
          <w:p w14:paraId="5069015D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  <w:t>N=245</w:t>
            </w: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001DF" w:rsidRPr="004557E8" w14:paraId="1B7D8C54" w14:textId="77777777" w:rsidTr="00121228">
        <w:tc>
          <w:tcPr>
            <w:tcW w:w="3969" w:type="dxa"/>
            <w:shd w:val="clear" w:color="auto" w:fill="auto"/>
            <w:vAlign w:val="center"/>
          </w:tcPr>
          <w:p w14:paraId="53F324A9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1D241AF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Неделя 48</w:t>
            </w:r>
          </w:p>
        </w:tc>
        <w:tc>
          <w:tcPr>
            <w:tcW w:w="2829" w:type="dxa"/>
            <w:gridSpan w:val="2"/>
            <w:vAlign w:val="center"/>
          </w:tcPr>
          <w:p w14:paraId="6A2EABB1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Неделя 96</w:t>
            </w:r>
          </w:p>
        </w:tc>
      </w:tr>
      <w:tr w:rsidR="004001DF" w:rsidRPr="004557E8" w14:paraId="2E59CE19" w14:textId="77777777" w:rsidTr="00121228">
        <w:tc>
          <w:tcPr>
            <w:tcW w:w="3969" w:type="dxa"/>
            <w:shd w:val="clear" w:color="auto" w:fill="auto"/>
            <w:vAlign w:val="center"/>
          </w:tcPr>
          <w:p w14:paraId="3A7D42FD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ДНК вируса гепатита В ≥20 МЕ/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b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3602F9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eastAsia="ru-RU"/>
              </w:rPr>
              <w:t>d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27FC0E5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(0.4%)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7FAFE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(0.4%)</w:t>
            </w:r>
          </w:p>
        </w:tc>
        <w:tc>
          <w:tcPr>
            <w:tcW w:w="1418" w:type="dxa"/>
            <w:vAlign w:val="center"/>
          </w:tcPr>
          <w:p w14:paraId="7504A807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(0.4%)</w:t>
            </w:r>
          </w:p>
        </w:tc>
        <w:tc>
          <w:tcPr>
            <w:tcW w:w="1411" w:type="dxa"/>
            <w:vAlign w:val="center"/>
          </w:tcPr>
          <w:p w14:paraId="4EAF18DE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(0.4%)</w:t>
            </w:r>
          </w:p>
        </w:tc>
      </w:tr>
      <w:tr w:rsidR="004001DF" w:rsidRPr="004557E8" w14:paraId="7CBA7C6B" w14:textId="77777777" w:rsidTr="00121228">
        <w:tc>
          <w:tcPr>
            <w:tcW w:w="3969" w:type="dxa"/>
            <w:shd w:val="clear" w:color="auto" w:fill="auto"/>
            <w:vAlign w:val="center"/>
          </w:tcPr>
          <w:p w14:paraId="46445991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Различия в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лечении</w:t>
            </w:r>
            <w:r w:rsidR="003602F9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e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72CEA44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0,0% (95% ДИ = от -1,9% до 2,0%)</w:t>
            </w:r>
          </w:p>
        </w:tc>
        <w:tc>
          <w:tcPr>
            <w:tcW w:w="2829" w:type="dxa"/>
            <w:gridSpan w:val="2"/>
            <w:vAlign w:val="center"/>
          </w:tcPr>
          <w:p w14:paraId="2123FD55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0.0% (95% ДИ = от -1.9% до 1.9%)</w:t>
            </w:r>
          </w:p>
        </w:tc>
      </w:tr>
      <w:tr w:rsidR="004001DF" w:rsidRPr="004557E8" w14:paraId="20C13CB3" w14:textId="77777777" w:rsidTr="00121228">
        <w:tc>
          <w:tcPr>
            <w:tcW w:w="3969" w:type="dxa"/>
            <w:shd w:val="clear" w:color="auto" w:fill="auto"/>
            <w:vAlign w:val="center"/>
          </w:tcPr>
          <w:p w14:paraId="19440D35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ДНК вируса гепатита В &lt;20 МЕ/мл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794D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234 (96.3%)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97103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236 (96.3%)</w:t>
            </w:r>
          </w:p>
        </w:tc>
        <w:tc>
          <w:tcPr>
            <w:tcW w:w="1418" w:type="dxa"/>
            <w:vAlign w:val="center"/>
          </w:tcPr>
          <w:p w14:paraId="49E16B76" w14:textId="77777777" w:rsidR="00121228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230</w:t>
            </w:r>
          </w:p>
          <w:p w14:paraId="67E472DE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(94.7%)</w:t>
            </w:r>
          </w:p>
        </w:tc>
        <w:tc>
          <w:tcPr>
            <w:tcW w:w="1411" w:type="dxa"/>
            <w:vAlign w:val="center"/>
          </w:tcPr>
          <w:p w14:paraId="4217A928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230 (93.9%)</w:t>
            </w:r>
          </w:p>
        </w:tc>
      </w:tr>
      <w:tr w:rsidR="004001DF" w:rsidRPr="004557E8" w14:paraId="25811003" w14:textId="77777777" w:rsidTr="00121228">
        <w:tc>
          <w:tcPr>
            <w:tcW w:w="3969" w:type="dxa"/>
            <w:shd w:val="clear" w:color="auto" w:fill="auto"/>
            <w:vAlign w:val="center"/>
          </w:tcPr>
          <w:p w14:paraId="30425859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Различия в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лечении</w:t>
            </w:r>
            <w:r w:rsidR="003602F9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e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442672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0,0% (95% ДИ = от -3,7% до 3,7%)</w:t>
            </w:r>
          </w:p>
        </w:tc>
        <w:tc>
          <w:tcPr>
            <w:tcW w:w="2829" w:type="dxa"/>
            <w:gridSpan w:val="2"/>
            <w:vAlign w:val="center"/>
          </w:tcPr>
          <w:p w14:paraId="5D83D4A1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0.9% (95% ДИ = от -3.5% до 5.2%)</w:t>
            </w:r>
          </w:p>
        </w:tc>
      </w:tr>
      <w:tr w:rsidR="004001DF" w:rsidRPr="004557E8" w14:paraId="2CD822C6" w14:textId="77777777" w:rsidTr="00121228">
        <w:tc>
          <w:tcPr>
            <w:tcW w:w="3969" w:type="dxa"/>
            <w:shd w:val="clear" w:color="auto" w:fill="auto"/>
            <w:vAlign w:val="center"/>
          </w:tcPr>
          <w:p w14:paraId="63500FAA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Нет вирусологических данных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5DF07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 (3.3%)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9C317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 (3.3%)</w:t>
            </w:r>
          </w:p>
        </w:tc>
        <w:tc>
          <w:tcPr>
            <w:tcW w:w="1418" w:type="dxa"/>
            <w:vAlign w:val="center"/>
          </w:tcPr>
          <w:p w14:paraId="15BE485D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12 (4.9%)</w:t>
            </w:r>
          </w:p>
        </w:tc>
        <w:tc>
          <w:tcPr>
            <w:tcW w:w="1411" w:type="dxa"/>
            <w:vAlign w:val="center"/>
          </w:tcPr>
          <w:p w14:paraId="3FEAC6C4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14 (5.7%)</w:t>
            </w:r>
          </w:p>
        </w:tc>
      </w:tr>
      <w:tr w:rsidR="004001DF" w:rsidRPr="004557E8" w14:paraId="40066968" w14:textId="77777777" w:rsidTr="00121228">
        <w:tc>
          <w:tcPr>
            <w:tcW w:w="3969" w:type="dxa"/>
            <w:shd w:val="clear" w:color="auto" w:fill="auto"/>
            <w:vAlign w:val="center"/>
          </w:tcPr>
          <w:p w14:paraId="7ABACA09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Прекращение приема исследуемого препарата из-за нежелательных явлений или смерти и наличие последней доступной ДНК </w:t>
            </w:r>
            <w:r w:rsidR="003602F9"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вируса гепатита В 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&lt;20 МЕ/мл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5BFBE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(0.8%)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9BB43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2991A7B9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(1.2%)</w:t>
            </w:r>
          </w:p>
        </w:tc>
        <w:tc>
          <w:tcPr>
            <w:tcW w:w="1411" w:type="dxa"/>
            <w:vAlign w:val="center"/>
          </w:tcPr>
          <w:p w14:paraId="53DC2864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(0.4%)</w:t>
            </w:r>
          </w:p>
        </w:tc>
      </w:tr>
      <w:tr w:rsidR="004001DF" w:rsidRPr="004557E8" w14:paraId="6774C19C" w14:textId="77777777" w:rsidTr="00121228">
        <w:tc>
          <w:tcPr>
            <w:tcW w:w="3969" w:type="dxa"/>
            <w:shd w:val="clear" w:color="auto" w:fill="auto"/>
            <w:vAlign w:val="center"/>
          </w:tcPr>
          <w:p w14:paraId="510695E5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Прием исследуемого препарата прекращен по другой причине</w:t>
            </w:r>
            <w:r w:rsidR="003602F9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eastAsia="ru-RU"/>
              </w:rPr>
              <w:t>f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и последний доступный ДНК вируса гепатита В &lt;20 МЕ/мл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1473D" w14:textId="77777777" w:rsidR="004001DF" w:rsidRPr="004557E8" w:rsidRDefault="004001DF" w:rsidP="003602F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6 (2.5%)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6A8DB" w14:textId="77777777" w:rsidR="004001DF" w:rsidRPr="004557E8" w:rsidRDefault="004001DF" w:rsidP="003602F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8 (3.3%)</w:t>
            </w:r>
          </w:p>
        </w:tc>
        <w:tc>
          <w:tcPr>
            <w:tcW w:w="1418" w:type="dxa"/>
            <w:vAlign w:val="center"/>
          </w:tcPr>
          <w:p w14:paraId="3A88AE27" w14:textId="77777777" w:rsidR="004001DF" w:rsidRPr="004557E8" w:rsidRDefault="004001DF" w:rsidP="003602F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7 (2.9%)</w:t>
            </w:r>
          </w:p>
        </w:tc>
        <w:tc>
          <w:tcPr>
            <w:tcW w:w="1411" w:type="dxa"/>
            <w:vAlign w:val="center"/>
          </w:tcPr>
          <w:p w14:paraId="288DEAC8" w14:textId="77777777" w:rsidR="004001DF" w:rsidRPr="004557E8" w:rsidRDefault="004001DF" w:rsidP="003602F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11 (4.5%)</w:t>
            </w:r>
          </w:p>
        </w:tc>
      </w:tr>
      <w:tr w:rsidR="004001DF" w:rsidRPr="004557E8" w14:paraId="2473B199" w14:textId="77777777" w:rsidTr="00121228">
        <w:tc>
          <w:tcPr>
            <w:tcW w:w="3969" w:type="dxa"/>
            <w:shd w:val="clear" w:color="auto" w:fill="auto"/>
            <w:vAlign w:val="center"/>
          </w:tcPr>
          <w:p w14:paraId="05347E67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Отсутствуют данные во время окна, но по исследуемому препарату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1EB24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6A6FB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4940E265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(0.8%)</w:t>
            </w:r>
          </w:p>
        </w:tc>
        <w:tc>
          <w:tcPr>
            <w:tcW w:w="1411" w:type="dxa"/>
            <w:vAlign w:val="center"/>
          </w:tcPr>
          <w:p w14:paraId="593A163B" w14:textId="77777777" w:rsidR="004001DF" w:rsidRPr="004557E8" w:rsidRDefault="004001DF" w:rsidP="0036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(0.8%)</w:t>
            </w:r>
          </w:p>
        </w:tc>
      </w:tr>
    </w:tbl>
    <w:p w14:paraId="0570FE19" w14:textId="77777777" w:rsidR="00B9429C" w:rsidRPr="004557E8" w:rsidRDefault="00B9429C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ТДФ =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r w:rsidR="00EE20ED" w:rsidRPr="004557E8">
        <w:rPr>
          <w:rFonts w:ascii="Times New Roman" w:hAnsi="Times New Roman"/>
          <w:sz w:val="20"/>
          <w:szCs w:val="20"/>
        </w:rPr>
        <w:t>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дизопроксил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фумарат</w:t>
      </w:r>
      <w:proofErr w:type="spellEnd"/>
    </w:p>
    <w:p w14:paraId="5AD0AB72" w14:textId="77777777" w:rsidR="00B9429C" w:rsidRPr="004557E8" w:rsidRDefault="00B9429C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ТАФ =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</w:t>
      </w:r>
      <w:proofErr w:type="spellEnd"/>
      <w:r w:rsidR="00A933D8"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</w:rPr>
        <w:t>фумарат</w:t>
      </w:r>
      <w:proofErr w:type="spellEnd"/>
    </w:p>
    <w:p w14:paraId="124E0E42" w14:textId="77777777" w:rsidR="00B9429C" w:rsidRPr="004557E8" w:rsidRDefault="00B9429C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>а. Окно 48 недели находилось между 295 и 378 днями (включительно).</w:t>
      </w:r>
    </w:p>
    <w:p w14:paraId="5785A549" w14:textId="77777777" w:rsidR="00B9429C" w:rsidRPr="004557E8" w:rsidRDefault="003602F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b</w:t>
      </w:r>
      <w:r w:rsidR="00B9429C" w:rsidRPr="004557E8">
        <w:rPr>
          <w:rFonts w:ascii="Times New Roman" w:hAnsi="Times New Roman"/>
          <w:sz w:val="20"/>
          <w:szCs w:val="20"/>
          <w:lang w:eastAsia="ru-RU"/>
        </w:rPr>
        <w:t>. Как определено модифицированным алгоритмом моментальных снимков, определенным FDA США.</w:t>
      </w:r>
    </w:p>
    <w:p w14:paraId="3D22BAE9" w14:textId="77777777" w:rsidR="00B9429C" w:rsidRPr="004557E8" w:rsidRDefault="00B9429C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 xml:space="preserve">c. </w:t>
      </w:r>
      <w:r w:rsidR="00E3077B" w:rsidRPr="004557E8">
        <w:rPr>
          <w:rFonts w:ascii="Times New Roman" w:hAnsi="Times New Roman"/>
          <w:sz w:val="20"/>
          <w:szCs w:val="20"/>
          <w:lang w:eastAsia="ru-RU"/>
        </w:rPr>
        <w:t>Открытая фаза. Окно 96 недели между 589 и 840 днями (включительно).</w:t>
      </w:r>
    </w:p>
    <w:p w14:paraId="78694ADE" w14:textId="77777777" w:rsidR="003602F9" w:rsidRPr="004557E8" w:rsidRDefault="003602F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>d.</w:t>
      </w:r>
      <w:r w:rsidRPr="004557E8">
        <w:t xml:space="preserve"> </w:t>
      </w:r>
      <w:r w:rsidRPr="004557E8">
        <w:rPr>
          <w:rFonts w:ascii="Times New Roman" w:hAnsi="Times New Roman"/>
          <w:sz w:val="20"/>
          <w:szCs w:val="20"/>
          <w:lang w:eastAsia="ru-RU"/>
        </w:rPr>
        <w:t>Ни один пациент не прекратил лечение из-за недостаточной эффективности.</w:t>
      </w:r>
    </w:p>
    <w:p w14:paraId="7A6A18C3" w14:textId="77777777" w:rsidR="00B9429C" w:rsidRPr="004557E8" w:rsidRDefault="003602F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 xml:space="preserve">е. </w:t>
      </w:r>
      <w:r w:rsidR="00B9429C" w:rsidRPr="004557E8">
        <w:rPr>
          <w:rFonts w:ascii="Times New Roman" w:hAnsi="Times New Roman"/>
          <w:sz w:val="20"/>
          <w:szCs w:val="20"/>
          <w:lang w:eastAsia="ru-RU"/>
        </w:rPr>
        <w:t xml:space="preserve">Скорректировано по исходным возрастным группам (&lt;50, ≥ 50 лет) и базовым уровням статуса </w:t>
      </w:r>
      <w:proofErr w:type="spellStart"/>
      <w:r w:rsidR="00B9429C" w:rsidRPr="004557E8">
        <w:rPr>
          <w:rFonts w:ascii="Times New Roman" w:hAnsi="Times New Roman"/>
          <w:sz w:val="20"/>
          <w:szCs w:val="20"/>
          <w:lang w:eastAsia="ru-RU"/>
        </w:rPr>
        <w:t>HBeAg</w:t>
      </w:r>
      <w:proofErr w:type="spellEnd"/>
      <w:r w:rsidR="00B9429C" w:rsidRPr="004557E8">
        <w:rPr>
          <w:rFonts w:ascii="Times New Roman" w:hAnsi="Times New Roman"/>
          <w:sz w:val="20"/>
          <w:szCs w:val="20"/>
          <w:lang w:eastAsia="ru-RU"/>
        </w:rPr>
        <w:t>.</w:t>
      </w:r>
    </w:p>
    <w:p w14:paraId="5344E341" w14:textId="77777777" w:rsidR="00666A68" w:rsidRPr="004557E8" w:rsidRDefault="003602F9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f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B9429C" w:rsidRPr="004557E8">
        <w:rPr>
          <w:rFonts w:ascii="Times New Roman" w:hAnsi="Times New Roman"/>
          <w:sz w:val="20"/>
          <w:szCs w:val="20"/>
          <w:lang w:eastAsia="ru-RU"/>
        </w:rPr>
        <w:t xml:space="preserve">Включает пациентов, которые прекратили лечение по причинам, не связанным с 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>нежелательными явлениями</w:t>
      </w:r>
      <w:r w:rsidR="00B9429C" w:rsidRPr="004557E8">
        <w:rPr>
          <w:rFonts w:ascii="Times New Roman" w:hAnsi="Times New Roman"/>
          <w:sz w:val="20"/>
          <w:szCs w:val="20"/>
          <w:lang w:eastAsia="ru-RU"/>
        </w:rPr>
        <w:t xml:space="preserve">, смертью или отсутствием эффективности, например, отозвали согласие, потеря 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>возможность последующего</w:t>
      </w:r>
      <w:r w:rsidR="00B9429C" w:rsidRPr="004557E8">
        <w:rPr>
          <w:rFonts w:ascii="Times New Roman" w:hAnsi="Times New Roman"/>
          <w:sz w:val="20"/>
          <w:szCs w:val="20"/>
          <w:lang w:eastAsia="ru-RU"/>
        </w:rPr>
        <w:t xml:space="preserve"> наблюдения и </w:t>
      </w:r>
      <w:proofErr w:type="spellStart"/>
      <w:r w:rsidR="00B9429C" w:rsidRPr="004557E8">
        <w:rPr>
          <w:rFonts w:ascii="Times New Roman" w:hAnsi="Times New Roman"/>
          <w:sz w:val="20"/>
          <w:szCs w:val="20"/>
          <w:lang w:eastAsia="ru-RU"/>
        </w:rPr>
        <w:t>т.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>д</w:t>
      </w:r>
      <w:proofErr w:type="spellEnd"/>
    </w:p>
    <w:p w14:paraId="14CF1C8B" w14:textId="77777777" w:rsidR="00D2771B" w:rsidRPr="004557E8" w:rsidRDefault="00D2771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86B17F" w14:textId="77777777" w:rsidR="0021050E" w:rsidRPr="004557E8" w:rsidRDefault="0021050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>Таблица 8: Дополнительные параметры эффективности на неделе 48</w:t>
      </w:r>
      <w:r w:rsidRPr="004557E8">
        <w:rPr>
          <w:rFonts w:ascii="Times New Roman" w:hAnsi="Times New Roman"/>
          <w:sz w:val="24"/>
          <w:szCs w:val="24"/>
          <w:vertAlign w:val="superscript"/>
          <w:lang w:eastAsia="ru-RU"/>
        </w:rPr>
        <w:t>а</w:t>
      </w:r>
      <w:r w:rsidR="00E3077B" w:rsidRPr="004557E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E3077B" w:rsidRPr="004557E8">
        <w:rPr>
          <w:rFonts w:ascii="Times New Roman" w:hAnsi="Times New Roman"/>
          <w:sz w:val="24"/>
          <w:szCs w:val="24"/>
          <w:lang w:eastAsia="ru-RU"/>
        </w:rPr>
        <w:t>и 96</w:t>
      </w:r>
      <w:r w:rsidR="00E3077B" w:rsidRPr="004557E8">
        <w:rPr>
          <w:rFonts w:ascii="Times New Roman" w:hAnsi="Times New Roman"/>
          <w:sz w:val="24"/>
          <w:szCs w:val="24"/>
          <w:vertAlign w:val="superscript"/>
          <w:lang w:eastAsia="ru-RU"/>
        </w:rPr>
        <w:t>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1046"/>
        <w:gridCol w:w="1131"/>
        <w:gridCol w:w="1404"/>
        <w:gridCol w:w="1397"/>
      </w:tblGrid>
      <w:tr w:rsidR="00E3077B" w:rsidRPr="004557E8" w14:paraId="65F1FDC3" w14:textId="77777777" w:rsidTr="00121228">
        <w:tc>
          <w:tcPr>
            <w:tcW w:w="4282" w:type="dxa"/>
            <w:shd w:val="clear" w:color="auto" w:fill="auto"/>
            <w:vAlign w:val="center"/>
          </w:tcPr>
          <w:p w14:paraId="12544D66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2A09FC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ТАФ</w:t>
            </w:r>
          </w:p>
          <w:p w14:paraId="32CDF0C6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  <w:t>N=243)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AA8CF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ТДФ</w:t>
            </w:r>
          </w:p>
          <w:p w14:paraId="454ACE9D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  <w:t>(N=245)</w:t>
            </w:r>
          </w:p>
        </w:tc>
        <w:tc>
          <w:tcPr>
            <w:tcW w:w="1418" w:type="dxa"/>
            <w:vAlign w:val="center"/>
          </w:tcPr>
          <w:p w14:paraId="61E52677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ТАФ-ТАФ</w:t>
            </w:r>
          </w:p>
          <w:p w14:paraId="2F017D5F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  <w:t>(N=243</w:t>
            </w: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1" w:type="dxa"/>
            <w:vAlign w:val="center"/>
          </w:tcPr>
          <w:p w14:paraId="67336CB1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ТДФ-ТАФ</w:t>
            </w:r>
          </w:p>
          <w:p w14:paraId="3ADDB192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ru-RU"/>
              </w:rPr>
              <w:t>N=</w:t>
            </w: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245)</w:t>
            </w:r>
          </w:p>
        </w:tc>
      </w:tr>
      <w:tr w:rsidR="00E3077B" w:rsidRPr="004557E8" w14:paraId="41E6B193" w14:textId="77777777" w:rsidTr="00121228">
        <w:tc>
          <w:tcPr>
            <w:tcW w:w="4282" w:type="dxa"/>
            <w:shd w:val="clear" w:color="auto" w:fill="auto"/>
            <w:vAlign w:val="center"/>
          </w:tcPr>
          <w:p w14:paraId="0FA105DF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F6B024C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Неделя 48</w:t>
            </w:r>
          </w:p>
        </w:tc>
        <w:tc>
          <w:tcPr>
            <w:tcW w:w="2829" w:type="dxa"/>
            <w:gridSpan w:val="2"/>
            <w:vAlign w:val="center"/>
          </w:tcPr>
          <w:p w14:paraId="3743DF9F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Неделя 96</w:t>
            </w:r>
          </w:p>
        </w:tc>
      </w:tr>
      <w:tr w:rsidR="00E3077B" w:rsidRPr="004557E8" w14:paraId="42D0485E" w14:textId="77777777" w:rsidTr="00121228">
        <w:tc>
          <w:tcPr>
            <w:tcW w:w="8953" w:type="dxa"/>
            <w:gridSpan w:val="5"/>
            <w:shd w:val="clear" w:color="auto" w:fill="auto"/>
            <w:vAlign w:val="center"/>
          </w:tcPr>
          <w:p w14:paraId="4A3733F0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АЛТ</w:t>
            </w:r>
          </w:p>
        </w:tc>
      </w:tr>
      <w:tr w:rsidR="00E3077B" w:rsidRPr="004557E8" w14:paraId="4D6370A6" w14:textId="77777777" w:rsidTr="00121228">
        <w:tc>
          <w:tcPr>
            <w:tcW w:w="4282" w:type="dxa"/>
            <w:shd w:val="clear" w:color="auto" w:fill="auto"/>
            <w:vAlign w:val="center"/>
          </w:tcPr>
          <w:p w14:paraId="4B75113E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Нормальный АЛТ (Центральная лаборатория)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236238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BF15D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418" w:type="dxa"/>
            <w:vAlign w:val="center"/>
          </w:tcPr>
          <w:p w14:paraId="42E7294B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411" w:type="dxa"/>
            <w:vAlign w:val="center"/>
          </w:tcPr>
          <w:p w14:paraId="3927F80A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91%</w:t>
            </w:r>
          </w:p>
        </w:tc>
      </w:tr>
      <w:tr w:rsidR="00E3077B" w:rsidRPr="004557E8" w14:paraId="234CCBC5" w14:textId="77777777" w:rsidTr="00121228">
        <w:tc>
          <w:tcPr>
            <w:tcW w:w="4282" w:type="dxa"/>
            <w:shd w:val="clear" w:color="auto" w:fill="auto"/>
            <w:vAlign w:val="center"/>
          </w:tcPr>
          <w:p w14:paraId="7AE5620C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Нормальный ALT (Американской ассоциации по изучению болезней печени)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EF6D14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888E3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418" w:type="dxa"/>
            <w:vAlign w:val="center"/>
          </w:tcPr>
          <w:p w14:paraId="4BE8202A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411" w:type="dxa"/>
            <w:vAlign w:val="center"/>
          </w:tcPr>
          <w:p w14:paraId="2326D1D6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87%</w:t>
            </w:r>
          </w:p>
        </w:tc>
      </w:tr>
      <w:tr w:rsidR="00E3077B" w:rsidRPr="004557E8" w14:paraId="18D9E463" w14:textId="77777777" w:rsidTr="00121228">
        <w:tc>
          <w:tcPr>
            <w:tcW w:w="4282" w:type="dxa"/>
            <w:shd w:val="clear" w:color="auto" w:fill="auto"/>
            <w:vAlign w:val="center"/>
          </w:tcPr>
          <w:p w14:paraId="543213EA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Нормализованный АЛТ (Центральная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лаборатория)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b</w:t>
            </w:r>
            <w:proofErr w:type="gramEnd"/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,c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32DF90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74BD6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1418" w:type="dxa"/>
            <w:vAlign w:val="center"/>
          </w:tcPr>
          <w:p w14:paraId="44E5373E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411" w:type="dxa"/>
            <w:vAlign w:val="center"/>
          </w:tcPr>
          <w:p w14:paraId="288531F2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79%</w:t>
            </w:r>
          </w:p>
        </w:tc>
      </w:tr>
      <w:tr w:rsidR="00E3077B" w:rsidRPr="004557E8" w14:paraId="04000C26" w14:textId="77777777" w:rsidTr="00121228">
        <w:tc>
          <w:tcPr>
            <w:tcW w:w="4282" w:type="dxa"/>
            <w:shd w:val="clear" w:color="auto" w:fill="auto"/>
            <w:vAlign w:val="center"/>
          </w:tcPr>
          <w:p w14:paraId="7A1B6AC6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Нормализованный АЛТ</w:t>
            </w:r>
          </w:p>
          <w:p w14:paraId="08DC32B5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(Американской ассоциации по изучению болезней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печени)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eastAsia="ru-RU"/>
              </w:rPr>
              <w:t>e</w:t>
            </w:r>
            <w:proofErr w:type="gramEnd"/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eastAsia="ru-RU"/>
              </w:rPr>
              <w:t>f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eastAsia="ru-RU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1F823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91AE7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418" w:type="dxa"/>
            <w:vAlign w:val="center"/>
          </w:tcPr>
          <w:p w14:paraId="6DB9CEA2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411" w:type="dxa"/>
            <w:vAlign w:val="center"/>
          </w:tcPr>
          <w:p w14:paraId="0C390EF9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74%</w:t>
            </w:r>
          </w:p>
        </w:tc>
      </w:tr>
      <w:tr w:rsidR="00E3077B" w:rsidRPr="004557E8" w14:paraId="489DD7EC" w14:textId="77777777" w:rsidTr="00121228">
        <w:tc>
          <w:tcPr>
            <w:tcW w:w="6124" w:type="dxa"/>
            <w:gridSpan w:val="3"/>
            <w:shd w:val="clear" w:color="auto" w:fill="auto"/>
            <w:vAlign w:val="center"/>
          </w:tcPr>
          <w:p w14:paraId="10DECF4C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Серология</w:t>
            </w:r>
          </w:p>
        </w:tc>
        <w:tc>
          <w:tcPr>
            <w:tcW w:w="1418" w:type="dxa"/>
            <w:vAlign w:val="center"/>
          </w:tcPr>
          <w:p w14:paraId="4EC340A5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14:paraId="3393CFF6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</w:tr>
      <w:tr w:rsidR="00E3077B" w:rsidRPr="004557E8" w14:paraId="2B4BDD46" w14:textId="77777777" w:rsidTr="00121228">
        <w:tc>
          <w:tcPr>
            <w:tcW w:w="4282" w:type="dxa"/>
            <w:shd w:val="clear" w:color="auto" w:fill="auto"/>
            <w:vAlign w:val="center"/>
          </w:tcPr>
          <w:p w14:paraId="6A71647B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Потеря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HBeAg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Сероконверсия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eastAsia="ru-RU"/>
              </w:rPr>
              <w:t>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28A42B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8%/3%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EC52A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6%/0</w:t>
            </w:r>
          </w:p>
        </w:tc>
        <w:tc>
          <w:tcPr>
            <w:tcW w:w="1418" w:type="dxa"/>
            <w:vAlign w:val="center"/>
          </w:tcPr>
          <w:p w14:paraId="7A4E90EE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18% / 5%</w:t>
            </w:r>
          </w:p>
        </w:tc>
        <w:tc>
          <w:tcPr>
            <w:tcW w:w="1411" w:type="dxa"/>
            <w:vAlign w:val="center"/>
          </w:tcPr>
          <w:p w14:paraId="331AEEE7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9% / 3%</w:t>
            </w:r>
          </w:p>
        </w:tc>
      </w:tr>
      <w:tr w:rsidR="00E3077B" w:rsidRPr="004557E8" w14:paraId="6F5FBE35" w14:textId="77777777" w:rsidTr="00121228">
        <w:tc>
          <w:tcPr>
            <w:tcW w:w="4282" w:type="dxa"/>
            <w:shd w:val="clear" w:color="auto" w:fill="auto"/>
            <w:vAlign w:val="center"/>
          </w:tcPr>
          <w:p w14:paraId="1874999A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Потеря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HBsAg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Сероконверсия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C35743F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983C8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2%/0</w:t>
            </w:r>
          </w:p>
        </w:tc>
        <w:tc>
          <w:tcPr>
            <w:tcW w:w="1418" w:type="dxa"/>
            <w:vAlign w:val="center"/>
          </w:tcPr>
          <w:p w14:paraId="1D0162E7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2% / 1%</w:t>
            </w:r>
          </w:p>
        </w:tc>
        <w:tc>
          <w:tcPr>
            <w:tcW w:w="1411" w:type="dxa"/>
            <w:vAlign w:val="center"/>
          </w:tcPr>
          <w:p w14:paraId="593C0A30" w14:textId="77777777" w:rsidR="00E3077B" w:rsidRPr="004557E8" w:rsidRDefault="00E3077B" w:rsidP="0012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2% / 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&lt; 1</w:t>
            </w:r>
            <w:proofErr w:type="gram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4710F13D" w14:textId="77777777" w:rsidR="0021050E" w:rsidRPr="004557E8" w:rsidRDefault="0021050E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 xml:space="preserve">ТДФ =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тенофовир</w:t>
      </w:r>
      <w:r w:rsidR="00EE20ED" w:rsidRPr="004557E8">
        <w:rPr>
          <w:rFonts w:ascii="Times New Roman" w:hAnsi="Times New Roman"/>
          <w:sz w:val="20"/>
          <w:szCs w:val="20"/>
          <w:lang w:eastAsia="ru-RU"/>
        </w:rPr>
        <w:t>а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дизопроксил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фумарат</w:t>
      </w:r>
      <w:proofErr w:type="spellEnd"/>
    </w:p>
    <w:p w14:paraId="70037FE8" w14:textId="77777777" w:rsidR="0021050E" w:rsidRPr="004557E8" w:rsidRDefault="0021050E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 xml:space="preserve">ТАФ =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алафенамид</w:t>
      </w:r>
      <w:proofErr w:type="spellEnd"/>
      <w:r w:rsidR="00A933D8"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  <w:lang w:eastAsia="ru-RU"/>
        </w:rPr>
        <w:t>фумарат</w:t>
      </w:r>
      <w:proofErr w:type="spellEnd"/>
    </w:p>
    <w:p w14:paraId="514EE3D0" w14:textId="77777777" w:rsidR="0021050E" w:rsidRPr="004557E8" w:rsidRDefault="0021050E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 xml:space="preserve">a. отсутствует = </w:t>
      </w:r>
      <w:r w:rsidR="006573DC" w:rsidRPr="004557E8">
        <w:rPr>
          <w:rFonts w:ascii="Times New Roman" w:hAnsi="Times New Roman"/>
          <w:sz w:val="20"/>
          <w:szCs w:val="20"/>
          <w:lang w:bidi="ru-RU"/>
        </w:rPr>
        <w:t>сбой анализов</w:t>
      </w:r>
    </w:p>
    <w:p w14:paraId="5A867834" w14:textId="77777777" w:rsidR="0021050E" w:rsidRPr="004557E8" w:rsidRDefault="00E3077B" w:rsidP="00E3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b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>. популяция, использованная для анализа нормализации АЛТ, включала только пациентов с АЛТ выше верхней границы нормы (</w:t>
      </w:r>
      <w:r w:rsidR="005C2D2F" w:rsidRPr="004557E8">
        <w:rPr>
          <w:rFonts w:ascii="Times New Roman" w:hAnsi="Times New Roman"/>
          <w:sz w:val="20"/>
          <w:szCs w:val="20"/>
          <w:lang w:eastAsia="ru-RU"/>
        </w:rPr>
        <w:t>ВГН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>)</w:t>
      </w:r>
      <w:r w:rsidR="005C2D2F" w:rsidRPr="004557E8">
        <w:rPr>
          <w:rFonts w:ascii="Times New Roman" w:hAnsi="Times New Roman"/>
          <w:sz w:val="20"/>
          <w:szCs w:val="20"/>
          <w:lang w:eastAsia="ru-RU"/>
        </w:rPr>
        <w:t xml:space="preserve"> ц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>ентраль</w:t>
      </w:r>
      <w:r w:rsidR="00D2771B" w:rsidRPr="004557E8">
        <w:rPr>
          <w:rFonts w:ascii="Times New Roman" w:hAnsi="Times New Roman"/>
          <w:sz w:val="20"/>
          <w:szCs w:val="20"/>
          <w:lang w:eastAsia="ru-RU"/>
        </w:rPr>
        <w:t>ного лабораторного диапазона (&gt;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 xml:space="preserve">43 </w:t>
      </w:r>
      <w:proofErr w:type="spellStart"/>
      <w:r w:rsidR="0021050E" w:rsidRPr="004557E8">
        <w:rPr>
          <w:rFonts w:ascii="Times New Roman" w:hAnsi="Times New Roman"/>
          <w:sz w:val="20"/>
          <w:szCs w:val="20"/>
          <w:lang w:eastAsia="ru-RU"/>
        </w:rPr>
        <w:t>Ед</w:t>
      </w:r>
      <w:proofErr w:type="spellEnd"/>
      <w:r w:rsidR="0021050E" w:rsidRPr="004557E8">
        <w:rPr>
          <w:rFonts w:ascii="Times New Roman" w:hAnsi="Times New Roman"/>
          <w:sz w:val="20"/>
          <w:szCs w:val="20"/>
          <w:lang w:eastAsia="ru-RU"/>
        </w:rPr>
        <w:t>/</w:t>
      </w:r>
      <w:r w:rsidR="00D2771B" w:rsidRPr="004557E8">
        <w:rPr>
          <w:rFonts w:ascii="Times New Roman" w:hAnsi="Times New Roman"/>
          <w:sz w:val="20"/>
          <w:szCs w:val="20"/>
          <w:lang w:eastAsia="ru-RU"/>
        </w:rPr>
        <w:t xml:space="preserve">л мужчины от 18 до &lt; 69 </w:t>
      </w:r>
      <w:r w:rsidR="00D2771B" w:rsidRPr="004557E8">
        <w:rPr>
          <w:rFonts w:ascii="Times New Roman" w:hAnsi="Times New Roman"/>
          <w:sz w:val="20"/>
          <w:szCs w:val="20"/>
          <w:lang w:eastAsia="ru-RU"/>
        </w:rPr>
        <w:lastRenderedPageBreak/>
        <w:t xml:space="preserve">лет и &gt;35 </w:t>
      </w:r>
      <w:proofErr w:type="spellStart"/>
      <w:r w:rsidR="00D2771B" w:rsidRPr="004557E8">
        <w:rPr>
          <w:rFonts w:ascii="Times New Roman" w:hAnsi="Times New Roman"/>
          <w:sz w:val="20"/>
          <w:szCs w:val="20"/>
          <w:lang w:eastAsia="ru-RU"/>
        </w:rPr>
        <w:t>Ед</w:t>
      </w:r>
      <w:proofErr w:type="spellEnd"/>
      <w:r w:rsidR="00D2771B" w:rsidRPr="004557E8">
        <w:rPr>
          <w:rFonts w:ascii="Times New Roman" w:hAnsi="Times New Roman"/>
          <w:sz w:val="20"/>
          <w:szCs w:val="20"/>
          <w:lang w:eastAsia="ru-RU"/>
        </w:rPr>
        <w:t>/л мужчины ≥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>69</w:t>
      </w:r>
      <w:r w:rsidR="00D2771B" w:rsidRPr="004557E8">
        <w:rPr>
          <w:rFonts w:ascii="Times New Roman" w:hAnsi="Times New Roman"/>
          <w:sz w:val="20"/>
          <w:szCs w:val="20"/>
          <w:lang w:eastAsia="ru-RU"/>
        </w:rPr>
        <w:t xml:space="preserve"> лет; &gt;34 </w:t>
      </w:r>
      <w:proofErr w:type="spellStart"/>
      <w:r w:rsidR="00D2771B" w:rsidRPr="004557E8">
        <w:rPr>
          <w:rFonts w:ascii="Times New Roman" w:hAnsi="Times New Roman"/>
          <w:sz w:val="20"/>
          <w:szCs w:val="20"/>
          <w:lang w:eastAsia="ru-RU"/>
        </w:rPr>
        <w:t>Ед</w:t>
      </w:r>
      <w:proofErr w:type="spellEnd"/>
      <w:r w:rsidR="00D2771B" w:rsidRPr="004557E8">
        <w:rPr>
          <w:rFonts w:ascii="Times New Roman" w:hAnsi="Times New Roman"/>
          <w:sz w:val="20"/>
          <w:szCs w:val="20"/>
          <w:lang w:eastAsia="ru-RU"/>
        </w:rPr>
        <w:t xml:space="preserve">/л женщины от 18 до &lt;69 лет и &gt;32 </w:t>
      </w:r>
      <w:proofErr w:type="spellStart"/>
      <w:r w:rsidR="00D2771B" w:rsidRPr="004557E8">
        <w:rPr>
          <w:rFonts w:ascii="Times New Roman" w:hAnsi="Times New Roman"/>
          <w:sz w:val="20"/>
          <w:szCs w:val="20"/>
          <w:lang w:eastAsia="ru-RU"/>
        </w:rPr>
        <w:t>Ед</w:t>
      </w:r>
      <w:proofErr w:type="spellEnd"/>
      <w:r w:rsidR="00D2771B" w:rsidRPr="004557E8">
        <w:rPr>
          <w:rFonts w:ascii="Times New Roman" w:hAnsi="Times New Roman"/>
          <w:sz w:val="20"/>
          <w:szCs w:val="20"/>
          <w:lang w:eastAsia="ru-RU"/>
        </w:rPr>
        <w:t>/л женщины ≥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>69 лет) в исходном состоянии.</w:t>
      </w:r>
    </w:p>
    <w:p w14:paraId="73BE5454" w14:textId="77777777" w:rsidR="0021050E" w:rsidRPr="004557E8" w:rsidRDefault="0021050E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>c. доля пациентов на 48-й неделе: T</w:t>
      </w:r>
      <w:r w:rsidR="005C2D2F" w:rsidRPr="004557E8">
        <w:rPr>
          <w:rFonts w:ascii="Times New Roman" w:hAnsi="Times New Roman"/>
          <w:sz w:val="20"/>
          <w:szCs w:val="20"/>
          <w:lang w:eastAsia="ru-RU"/>
        </w:rPr>
        <w:t>АФ</w:t>
      </w:r>
      <w:r w:rsidRPr="004557E8">
        <w:rPr>
          <w:rFonts w:ascii="Times New Roman" w:hAnsi="Times New Roman"/>
          <w:sz w:val="20"/>
          <w:szCs w:val="20"/>
          <w:lang w:eastAsia="ru-RU"/>
        </w:rPr>
        <w:t>, 16/32; T</w:t>
      </w:r>
      <w:r w:rsidR="005C2D2F" w:rsidRPr="004557E8">
        <w:rPr>
          <w:rFonts w:ascii="Times New Roman" w:hAnsi="Times New Roman"/>
          <w:sz w:val="20"/>
          <w:szCs w:val="20"/>
          <w:lang w:eastAsia="ru-RU"/>
        </w:rPr>
        <w:t>ДФ</w:t>
      </w:r>
      <w:r w:rsidRPr="004557E8">
        <w:rPr>
          <w:rFonts w:ascii="Times New Roman" w:hAnsi="Times New Roman"/>
          <w:sz w:val="20"/>
          <w:szCs w:val="20"/>
          <w:lang w:eastAsia="ru-RU"/>
        </w:rPr>
        <w:t>, 7/19.</w:t>
      </w:r>
    </w:p>
    <w:p w14:paraId="67B61ADE" w14:textId="77777777" w:rsidR="00E5640D" w:rsidRPr="004557E8" w:rsidRDefault="00E5640D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d</w:t>
      </w:r>
      <w:r w:rsidRPr="004557E8">
        <w:rPr>
          <w:rFonts w:ascii="Times New Roman" w:hAnsi="Times New Roman"/>
          <w:sz w:val="20"/>
          <w:szCs w:val="20"/>
          <w:lang w:eastAsia="ru-RU"/>
        </w:rPr>
        <w:t>. доля пациентов на 96-й неделе: TАФ, 18/32; TДФ, 15/19.</w:t>
      </w:r>
    </w:p>
    <w:p w14:paraId="50319655" w14:textId="77777777" w:rsidR="0021050E" w:rsidRPr="004557E8" w:rsidRDefault="00E5640D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e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 xml:space="preserve">. популяция, использованная для анализа нормализации АЛТ, включала только пациентов с </w:t>
      </w:r>
      <w:r w:rsidR="00121228" w:rsidRPr="004557E8">
        <w:rPr>
          <w:rFonts w:ascii="Times New Roman" w:hAnsi="Times New Roman"/>
          <w:sz w:val="20"/>
          <w:szCs w:val="20"/>
          <w:lang w:eastAsia="ru-RU"/>
        </w:rPr>
        <w:t xml:space="preserve">ВГН 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 xml:space="preserve">по критериям Американской ассоциации изучения заболеваний печени (AASLD) 2018 года (35 </w:t>
      </w:r>
      <w:proofErr w:type="spellStart"/>
      <w:r w:rsidR="0021050E" w:rsidRPr="004557E8">
        <w:rPr>
          <w:rFonts w:ascii="Times New Roman" w:hAnsi="Times New Roman"/>
          <w:sz w:val="20"/>
          <w:szCs w:val="20"/>
          <w:lang w:eastAsia="ru-RU"/>
        </w:rPr>
        <w:t>Ед</w:t>
      </w:r>
      <w:proofErr w:type="spellEnd"/>
      <w:r w:rsidR="0021050E" w:rsidRPr="004557E8">
        <w:rPr>
          <w:rFonts w:ascii="Times New Roman" w:hAnsi="Times New Roman"/>
          <w:sz w:val="20"/>
          <w:szCs w:val="20"/>
          <w:lang w:eastAsia="ru-RU"/>
        </w:rPr>
        <w:t xml:space="preserve">/л мужчин и 25 </w:t>
      </w:r>
      <w:proofErr w:type="spellStart"/>
      <w:r w:rsidR="0021050E" w:rsidRPr="004557E8">
        <w:rPr>
          <w:rFonts w:ascii="Times New Roman" w:hAnsi="Times New Roman"/>
          <w:sz w:val="20"/>
          <w:szCs w:val="20"/>
          <w:lang w:eastAsia="ru-RU"/>
        </w:rPr>
        <w:t>Ед</w:t>
      </w:r>
      <w:proofErr w:type="spellEnd"/>
      <w:r w:rsidR="0021050E" w:rsidRPr="004557E8">
        <w:rPr>
          <w:rFonts w:ascii="Times New Roman" w:hAnsi="Times New Roman"/>
          <w:sz w:val="20"/>
          <w:szCs w:val="20"/>
          <w:lang w:eastAsia="ru-RU"/>
        </w:rPr>
        <w:t>/л женщин) в исходном состоянии.</w:t>
      </w:r>
    </w:p>
    <w:p w14:paraId="196112FF" w14:textId="77777777" w:rsidR="0021050E" w:rsidRPr="004557E8" w:rsidRDefault="00BD65E1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f</w:t>
      </w:r>
      <w:r w:rsidR="0021050E" w:rsidRPr="004557E8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4557E8">
        <w:rPr>
          <w:rFonts w:ascii="Times New Roman" w:hAnsi="Times New Roman"/>
          <w:sz w:val="20"/>
          <w:szCs w:val="20"/>
          <w:lang w:eastAsia="ru-RU"/>
        </w:rPr>
        <w:t>Доля пациентов на неделе 48: ТАФ, 26/52; ТДФ, 14/53</w:t>
      </w:r>
    </w:p>
    <w:p w14:paraId="3C228B7E" w14:textId="77777777" w:rsidR="00E3077B" w:rsidRPr="004557E8" w:rsidRDefault="00E3077B" w:rsidP="00E307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g</w:t>
      </w:r>
      <w:r w:rsidRPr="004557E8">
        <w:rPr>
          <w:rFonts w:ascii="Times New Roman" w:hAnsi="Times New Roman"/>
          <w:sz w:val="20"/>
          <w:szCs w:val="20"/>
          <w:lang w:eastAsia="ru-RU"/>
        </w:rPr>
        <w:t>. Доля пациентов на неделе 96: ТАФ, 29/52; ТДФ, 39/53</w:t>
      </w:r>
    </w:p>
    <w:p w14:paraId="144E25DC" w14:textId="77777777" w:rsidR="00E3077B" w:rsidRPr="004557E8" w:rsidRDefault="00E3077B" w:rsidP="006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h</w:t>
      </w:r>
      <w:r w:rsidRPr="004557E8">
        <w:rPr>
          <w:rFonts w:ascii="Times New Roman" w:hAnsi="Times New Roman"/>
          <w:sz w:val="20"/>
          <w:szCs w:val="20"/>
          <w:lang w:eastAsia="ru-RU"/>
        </w:rPr>
        <w:t>. Популяция, использованная для серологического анализа, включала только пациентов с положительным антигеном (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HBeAg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>) и отрицательным или отсутствующим антителом (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HBeAb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>) на исходном уровне.</w:t>
      </w:r>
    </w:p>
    <w:p w14:paraId="150F2E89" w14:textId="77777777" w:rsidR="00D2771B" w:rsidRPr="004557E8" w:rsidRDefault="00D2771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0278E76F" w14:textId="77777777" w:rsidR="005C2D2F" w:rsidRPr="004557E8" w:rsidRDefault="005C2D2F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557E8">
        <w:rPr>
          <w:rFonts w:ascii="Times New Roman" w:hAnsi="Times New Roman"/>
          <w:i/>
          <w:sz w:val="24"/>
          <w:szCs w:val="24"/>
          <w:lang w:eastAsia="ru-RU"/>
        </w:rPr>
        <w:t>Изменения минеральной плотности костной ткани в исследовании 4018</w:t>
      </w:r>
    </w:p>
    <w:p w14:paraId="7353407F" w14:textId="77777777" w:rsidR="0021050E" w:rsidRPr="004557E8" w:rsidRDefault="005C2D2F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 xml:space="preserve">Среднее процентное изменение МПКТ от исходного уровня до 48-й недели по оценке DXA составило +1,7% при применении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по сравнению с -0,1% при применении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в поясничном отделе позвоночника и +0,7% по сравнению с -0,5% в общем тазобедренном суставе. Снижение МПКТ более чем на 3% в поясничном отделе позвоночника наблюдалось у 4% пациентов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у 17% пациентов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48-й неделе. Снижение МПКТ более чем на 3% в общем тазобедренном суставе наблюдалось у 2% пациентов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у 12% пациентов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48-й неделе.</w:t>
      </w:r>
    </w:p>
    <w:p w14:paraId="5BDE4AAA" w14:textId="77777777" w:rsidR="00084D43" w:rsidRPr="004557E8" w:rsidRDefault="00084D43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>В открытой фазе среднее процентное изменение МПК</w:t>
      </w:r>
      <w:r w:rsidR="00424983" w:rsidRPr="004557E8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от исходного уровня до недели 96 у пациентов, которые продолжали принимать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, составило +2,3% для поясничного отдела позвоночника и +1,2% для всего тазобедренного сустава по сравнению с +1,7% для поясничного отдела позвоночника и +0,2% для всего тазобедренного сустава у тех, кто перешел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48-й неделе.</w:t>
      </w:r>
    </w:p>
    <w:p w14:paraId="79E33658" w14:textId="77777777" w:rsidR="005C2D2F" w:rsidRPr="004557E8" w:rsidRDefault="005C2D2F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557E8">
        <w:rPr>
          <w:rFonts w:ascii="Times New Roman" w:hAnsi="Times New Roman"/>
          <w:i/>
          <w:sz w:val="24"/>
          <w:szCs w:val="24"/>
          <w:lang w:eastAsia="ru-RU"/>
        </w:rPr>
        <w:t>Изменения лабораторных показателей почек в исследовании 4018</w:t>
      </w:r>
    </w:p>
    <w:p w14:paraId="1CA8BEF7" w14:textId="77777777" w:rsidR="0038794E" w:rsidRPr="004557E8" w:rsidRDefault="005C2D2F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 xml:space="preserve">Медиана изменения скорости клубочковой фильтрации по методу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Кокрофта-Голта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от исходного уровня до 48-й недели составила +</w:t>
      </w:r>
      <w:r w:rsidR="0038794E" w:rsidRPr="004557E8">
        <w:rPr>
          <w:rFonts w:ascii="Times New Roman" w:hAnsi="Times New Roman"/>
          <w:sz w:val="24"/>
          <w:szCs w:val="24"/>
          <w:lang w:eastAsia="ru-RU"/>
        </w:rPr>
        <w:t>2</w:t>
      </w:r>
      <w:r w:rsidRPr="004557E8">
        <w:rPr>
          <w:rFonts w:ascii="Times New Roman" w:hAnsi="Times New Roman"/>
          <w:sz w:val="24"/>
          <w:szCs w:val="24"/>
          <w:lang w:eastAsia="ru-RU"/>
        </w:rPr>
        <w:t>,</w:t>
      </w:r>
      <w:r w:rsidR="0038794E" w:rsidRPr="004557E8">
        <w:rPr>
          <w:rFonts w:ascii="Times New Roman" w:hAnsi="Times New Roman"/>
          <w:sz w:val="24"/>
          <w:szCs w:val="24"/>
          <w:lang w:eastAsia="ru-RU"/>
        </w:rPr>
        <w:t>2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мл в минуту в группе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-</w:t>
      </w:r>
      <w:r w:rsidR="0038794E" w:rsidRPr="004557E8">
        <w:rPr>
          <w:rFonts w:ascii="Times New Roman" w:hAnsi="Times New Roman"/>
          <w:sz w:val="24"/>
          <w:szCs w:val="24"/>
          <w:lang w:eastAsia="ru-RU"/>
        </w:rPr>
        <w:t>1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,7 мл в минуту у лиц, получавших </w:t>
      </w:r>
      <w:proofErr w:type="spellStart"/>
      <w:r w:rsidR="008201FB" w:rsidRPr="004557E8">
        <w:rPr>
          <w:rFonts w:ascii="Times New Roman" w:hAnsi="Times New Roman"/>
          <w:sz w:val="24"/>
          <w:szCs w:val="24"/>
          <w:lang w:eastAsia="ru-RU"/>
        </w:rPr>
        <w:t>т</w:t>
      </w:r>
      <w:r w:rsidRPr="004557E8">
        <w:rPr>
          <w:rFonts w:ascii="Times New Roman" w:hAnsi="Times New Roman"/>
          <w:sz w:val="24"/>
          <w:szCs w:val="24"/>
          <w:lang w:eastAsia="ru-RU"/>
        </w:rPr>
        <w:t>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. На 48-й неделе наблюдалось медианное повышение уровня креатинина сыворотки крови от исходного уровня у пациентов, рандомизированных для продолжения лечения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дизопроксилом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(0,0</w:t>
      </w:r>
      <w:r w:rsidR="0038794E" w:rsidRPr="004557E8">
        <w:rPr>
          <w:rFonts w:ascii="Times New Roman" w:hAnsi="Times New Roman"/>
          <w:sz w:val="24"/>
          <w:szCs w:val="24"/>
          <w:lang w:eastAsia="ru-RU"/>
        </w:rPr>
        <w:t>1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мг/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дл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), по сравнению с </w:t>
      </w:r>
      <w:r w:rsidR="0081242A" w:rsidRPr="004557E8">
        <w:rPr>
          <w:rFonts w:ascii="Times New Roman" w:hAnsi="Times New Roman"/>
          <w:sz w:val="24"/>
          <w:szCs w:val="24"/>
          <w:lang w:eastAsia="ru-RU"/>
        </w:rPr>
        <w:t xml:space="preserve">медианой снижения 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от исходного уровня у тех, кто был переведен на </w:t>
      </w:r>
      <w:proofErr w:type="spellStart"/>
      <w:r w:rsidR="00B70805" w:rsidRPr="004557E8">
        <w:rPr>
          <w:rFonts w:ascii="Times New Roman" w:hAnsi="Times New Roman"/>
          <w:sz w:val="24"/>
          <w:szCs w:val="24"/>
          <w:lang w:eastAsia="ru-RU"/>
        </w:rPr>
        <w:t>т</w:t>
      </w:r>
      <w:r w:rsidRPr="004557E8">
        <w:rPr>
          <w:rFonts w:ascii="Times New Roman" w:hAnsi="Times New Roman"/>
          <w:sz w:val="24"/>
          <w:szCs w:val="24"/>
          <w:lang w:eastAsia="ru-RU"/>
        </w:rPr>
        <w:t>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38794E" w:rsidRPr="004557E8">
        <w:rPr>
          <w:rFonts w:ascii="Times New Roman" w:hAnsi="Times New Roman"/>
          <w:sz w:val="24"/>
          <w:szCs w:val="24"/>
          <w:lang w:eastAsia="ru-RU"/>
        </w:rPr>
        <w:t>-</w:t>
      </w:r>
      <w:r w:rsidRPr="004557E8">
        <w:rPr>
          <w:rFonts w:ascii="Times New Roman" w:hAnsi="Times New Roman"/>
          <w:sz w:val="24"/>
          <w:szCs w:val="24"/>
          <w:lang w:eastAsia="ru-RU"/>
        </w:rPr>
        <w:t>0,</w:t>
      </w:r>
      <w:r w:rsidR="0038794E" w:rsidRPr="004557E8">
        <w:rPr>
          <w:rFonts w:ascii="Times New Roman" w:hAnsi="Times New Roman"/>
          <w:sz w:val="24"/>
          <w:szCs w:val="24"/>
          <w:lang w:eastAsia="ru-RU"/>
        </w:rPr>
        <w:t>01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 мг/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дл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14:paraId="10B2B9EA" w14:textId="77777777" w:rsidR="0038794E" w:rsidRPr="004557E8" w:rsidRDefault="0038794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 xml:space="preserve">В открытой фазе медиана изменения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рСКФ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от исходного уровня до 96-й недели составила 1,6 мл/мин у пациентов, которые продолжали принимать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, по сравнению с +0,5 мл/мин у пациентов, которые перешли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48-й неделе. Среднее изменение уровня креатинина в сыворотке от исходного уровня до 96-й недели составило -0,02 мг/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дл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у тех, кто продолжал принимать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>, по сравнению с -0,01 мг/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дл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у тех, кто перешел с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на 48-й неделе.</w:t>
      </w:r>
    </w:p>
    <w:p w14:paraId="3392F19E" w14:textId="77777777" w:rsidR="008201FB" w:rsidRPr="004557E8" w:rsidRDefault="008201F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557E8">
        <w:rPr>
          <w:rFonts w:ascii="Times New Roman" w:hAnsi="Times New Roman"/>
          <w:i/>
          <w:sz w:val="24"/>
          <w:szCs w:val="24"/>
          <w:lang w:eastAsia="ru-RU"/>
        </w:rPr>
        <w:t>Изменения в лабораторных исследованиях липидов в исследовании 4018</w:t>
      </w:r>
    </w:p>
    <w:p w14:paraId="274C094D" w14:textId="77777777" w:rsidR="008201FB" w:rsidRPr="004557E8" w:rsidRDefault="008201F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 xml:space="preserve">Изменения </w:t>
      </w:r>
      <w:r w:rsidR="0081242A" w:rsidRPr="004557E8">
        <w:rPr>
          <w:rFonts w:ascii="Times New Roman" w:hAnsi="Times New Roman"/>
          <w:sz w:val="24"/>
          <w:szCs w:val="24"/>
          <w:lang w:eastAsia="ru-RU"/>
        </w:rPr>
        <w:t xml:space="preserve">показателей </w:t>
      </w:r>
      <w:r w:rsidRPr="004557E8">
        <w:rPr>
          <w:rFonts w:ascii="Times New Roman" w:hAnsi="Times New Roman"/>
          <w:sz w:val="24"/>
          <w:szCs w:val="24"/>
          <w:lang w:eastAsia="ru-RU"/>
        </w:rPr>
        <w:t>общего холестерина, холестерина ЛПВП, холестерина ЛПНП, триглицеридов и</w:t>
      </w:r>
      <w:r w:rsidR="0081242A" w:rsidRPr="004557E8">
        <w:rPr>
          <w:rFonts w:ascii="Times New Roman" w:hAnsi="Times New Roman"/>
          <w:sz w:val="24"/>
          <w:szCs w:val="24"/>
          <w:lang w:eastAsia="ru-RU"/>
        </w:rPr>
        <w:t xml:space="preserve"> соотношения 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общего холестерина к ЛПВП по сравнению с исходным уровнем </w:t>
      </w:r>
      <w:r w:rsidR="0081242A" w:rsidRPr="004557E8">
        <w:rPr>
          <w:rFonts w:ascii="Times New Roman" w:hAnsi="Times New Roman"/>
          <w:sz w:val="24"/>
          <w:szCs w:val="24"/>
          <w:lang w:eastAsia="ru-RU"/>
        </w:rPr>
        <w:t xml:space="preserve">двойного слепого исследования на 48-й и 96-й неделях </w:t>
      </w:r>
      <w:r w:rsidRPr="004557E8">
        <w:rPr>
          <w:rFonts w:ascii="Times New Roman" w:hAnsi="Times New Roman"/>
          <w:sz w:val="24"/>
          <w:szCs w:val="24"/>
          <w:lang w:eastAsia="ru-RU"/>
        </w:rPr>
        <w:t>представлены в таблице 9.</w:t>
      </w:r>
    </w:p>
    <w:p w14:paraId="2B0D8CB7" w14:textId="77777777" w:rsidR="00D2771B" w:rsidRPr="004557E8" w:rsidRDefault="00D2771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DC15BB" w14:textId="77777777" w:rsidR="008201FB" w:rsidRPr="004557E8" w:rsidRDefault="008201FB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>Таблица 9: Медиана изменений липидных лабораторных тестов на 48</w:t>
      </w:r>
      <w:r w:rsidR="0081242A" w:rsidRPr="004557E8">
        <w:rPr>
          <w:rFonts w:ascii="Times New Roman" w:hAnsi="Times New Roman"/>
          <w:sz w:val="24"/>
          <w:szCs w:val="24"/>
          <w:lang w:eastAsia="ru-RU"/>
        </w:rPr>
        <w:t xml:space="preserve">-й </w:t>
      </w:r>
      <w:r w:rsidR="007E020D" w:rsidRPr="004557E8">
        <w:rPr>
          <w:rFonts w:ascii="Times New Roman" w:hAnsi="Times New Roman"/>
          <w:sz w:val="24"/>
          <w:szCs w:val="24"/>
          <w:lang w:eastAsia="ru-RU"/>
        </w:rPr>
        <w:t>и 96</w:t>
      </w:r>
      <w:r w:rsidR="0081242A" w:rsidRPr="004557E8">
        <w:rPr>
          <w:rFonts w:ascii="Times New Roman" w:hAnsi="Times New Roman"/>
          <w:sz w:val="24"/>
          <w:szCs w:val="24"/>
          <w:lang w:eastAsia="ru-RU"/>
        </w:rPr>
        <w:t>-й</w:t>
      </w:r>
      <w:r w:rsidR="007E020D" w:rsidRPr="004557E8">
        <w:rPr>
          <w:rFonts w:ascii="Times New Roman" w:hAnsi="Times New Roman"/>
          <w:sz w:val="24"/>
          <w:szCs w:val="24"/>
          <w:lang w:eastAsia="ru-RU"/>
        </w:rPr>
        <w:t xml:space="preserve"> недел</w:t>
      </w:r>
      <w:r w:rsidR="0081242A" w:rsidRPr="004557E8">
        <w:rPr>
          <w:rFonts w:ascii="Times New Roman" w:hAnsi="Times New Roman"/>
          <w:sz w:val="24"/>
          <w:szCs w:val="24"/>
          <w:lang w:eastAsia="ru-RU"/>
        </w:rPr>
        <w:t>ях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355"/>
        <w:gridCol w:w="1134"/>
        <w:gridCol w:w="1233"/>
        <w:gridCol w:w="1319"/>
        <w:gridCol w:w="1177"/>
        <w:gridCol w:w="1226"/>
      </w:tblGrid>
      <w:tr w:rsidR="00C852E4" w:rsidRPr="004557E8" w14:paraId="233C2B32" w14:textId="77777777" w:rsidTr="00C852E4">
        <w:tc>
          <w:tcPr>
            <w:tcW w:w="1622" w:type="dxa"/>
            <w:shd w:val="clear" w:color="auto" w:fill="auto"/>
            <w:vAlign w:val="center"/>
          </w:tcPr>
          <w:p w14:paraId="333A8B30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7FA8BA0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ТАФ</w:t>
            </w:r>
          </w:p>
          <w:p w14:paraId="11CB5524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N=</w:t>
            </w:r>
            <w:r w:rsidR="00DB5C6E"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236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FBA7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ТАФ</w:t>
            </w:r>
          </w:p>
          <w:p w14:paraId="21FC0AA4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N=226)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D30E84E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ТАФ-ТАФ</w:t>
            </w:r>
          </w:p>
          <w:p w14:paraId="384CD10D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N=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220)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5FCBBF5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ТДФ</w:t>
            </w:r>
          </w:p>
          <w:p w14:paraId="7BC396D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N=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230)</w:t>
            </w:r>
          </w:p>
        </w:tc>
        <w:tc>
          <w:tcPr>
            <w:tcW w:w="1177" w:type="dxa"/>
            <w:vAlign w:val="center"/>
          </w:tcPr>
          <w:p w14:paraId="197ECB97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ТДФ</w:t>
            </w:r>
          </w:p>
          <w:p w14:paraId="305521B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N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=222)</w:t>
            </w:r>
          </w:p>
        </w:tc>
        <w:tc>
          <w:tcPr>
            <w:tcW w:w="1226" w:type="dxa"/>
            <w:vAlign w:val="center"/>
          </w:tcPr>
          <w:p w14:paraId="4CFB5CB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ТДФ-ТАФ</w:t>
            </w:r>
          </w:p>
          <w:p w14:paraId="6220E69E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  <w:t>N=</w:t>
            </w: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219)</w:t>
            </w:r>
          </w:p>
        </w:tc>
      </w:tr>
      <w:tr w:rsidR="00C852E4" w:rsidRPr="004557E8" w14:paraId="70479AA0" w14:textId="77777777" w:rsidTr="00C852E4">
        <w:tc>
          <w:tcPr>
            <w:tcW w:w="1622" w:type="dxa"/>
            <w:shd w:val="clear" w:color="auto" w:fill="auto"/>
            <w:vAlign w:val="center"/>
          </w:tcPr>
          <w:p w14:paraId="5651D0F0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BC974BC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Исходный уровень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01934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48 неделя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523AF9E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96 неделя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514FE10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Исходный уровень</w:t>
            </w:r>
          </w:p>
        </w:tc>
        <w:tc>
          <w:tcPr>
            <w:tcW w:w="1177" w:type="dxa"/>
            <w:vAlign w:val="center"/>
          </w:tcPr>
          <w:p w14:paraId="71639875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48 неделя</w:t>
            </w:r>
          </w:p>
        </w:tc>
        <w:tc>
          <w:tcPr>
            <w:tcW w:w="1226" w:type="dxa"/>
            <w:vAlign w:val="center"/>
          </w:tcPr>
          <w:p w14:paraId="14DCA8E2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96 неделя</w:t>
            </w:r>
          </w:p>
        </w:tc>
      </w:tr>
      <w:tr w:rsidR="00C852E4" w:rsidRPr="004557E8" w14:paraId="475B43AB" w14:textId="77777777" w:rsidTr="00C852E4">
        <w:tc>
          <w:tcPr>
            <w:tcW w:w="1622" w:type="dxa"/>
            <w:shd w:val="clear" w:color="auto" w:fill="auto"/>
            <w:vAlign w:val="center"/>
          </w:tcPr>
          <w:p w14:paraId="0603D2A1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BB4308B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(Q1, Q3) 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73E55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Медиана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изменения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a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2DF03B1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(Q1, Q3) 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09D7BB6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Медиана изменения</w:t>
            </w:r>
          </w:p>
          <w:p w14:paraId="449FC9DC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(Q1, Q3) 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0FE77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(Q1, Q3) 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7" w:type="dxa"/>
            <w:vAlign w:val="center"/>
          </w:tcPr>
          <w:p w14:paraId="1A2FCBAD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Медиана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изменения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ru-RU"/>
              </w:rPr>
              <w:t>a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6A56099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(Q1, Q3) 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6" w:type="dxa"/>
            <w:vAlign w:val="center"/>
          </w:tcPr>
          <w:p w14:paraId="0177A2A1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Медиана изменения</w:t>
            </w:r>
          </w:p>
          <w:p w14:paraId="65A6B42E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(Q1, Q3) (мг/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852E4" w:rsidRPr="004557E8" w14:paraId="45E0D70A" w14:textId="77777777" w:rsidTr="00C852E4">
        <w:tc>
          <w:tcPr>
            <w:tcW w:w="1622" w:type="dxa"/>
            <w:shd w:val="clear" w:color="auto" w:fill="auto"/>
            <w:vAlign w:val="center"/>
          </w:tcPr>
          <w:p w14:paraId="133FDF33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Общий холестерин (натощак)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4626678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166 </w:t>
            </w:r>
          </w:p>
          <w:p w14:paraId="1E01D340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(147, 189)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206EE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19 </w:t>
            </w:r>
          </w:p>
          <w:p w14:paraId="19A0B9A5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(6, 33)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5FEB8F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16 (3, 30)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80AED9D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169 </w:t>
            </w:r>
          </w:p>
          <w:p w14:paraId="364A92FA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(147, 188)</w:t>
            </w:r>
          </w:p>
        </w:tc>
        <w:tc>
          <w:tcPr>
            <w:tcW w:w="1177" w:type="dxa"/>
            <w:vAlign w:val="center"/>
          </w:tcPr>
          <w:p w14:paraId="65F54CB8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−4</w:t>
            </w:r>
          </w:p>
          <w:p w14:paraId="0E8D2F20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(−16, 8)</w:t>
            </w:r>
          </w:p>
        </w:tc>
        <w:tc>
          <w:tcPr>
            <w:tcW w:w="1226" w:type="dxa"/>
            <w:vAlign w:val="center"/>
          </w:tcPr>
          <w:p w14:paraId="595590E7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15</w:t>
            </w:r>
          </w:p>
          <w:p w14:paraId="42A4C330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(1, 28)</w:t>
            </w:r>
          </w:p>
        </w:tc>
      </w:tr>
      <w:tr w:rsidR="00C852E4" w:rsidRPr="004557E8" w14:paraId="0DCA2A0A" w14:textId="77777777" w:rsidTr="00C852E4">
        <w:tc>
          <w:tcPr>
            <w:tcW w:w="1622" w:type="dxa"/>
            <w:shd w:val="clear" w:color="auto" w:fill="auto"/>
            <w:vAlign w:val="center"/>
          </w:tcPr>
          <w:p w14:paraId="5DA662DD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ЛПВП-холестерин (натощак)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32B9605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48 (41, 56)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72092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(−1, 8)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A196A50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(−1, 10)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C1060C6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48 (40, 57)</w:t>
            </w:r>
          </w:p>
        </w:tc>
        <w:tc>
          <w:tcPr>
            <w:tcW w:w="1177" w:type="dxa"/>
            <w:vAlign w:val="center"/>
          </w:tcPr>
          <w:p w14:paraId="3B5D3A03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−1 </w:t>
            </w:r>
          </w:p>
          <w:p w14:paraId="028753C5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(−5, 2)</w:t>
            </w:r>
          </w:p>
        </w:tc>
        <w:tc>
          <w:tcPr>
            <w:tcW w:w="1226" w:type="dxa"/>
            <w:vAlign w:val="center"/>
          </w:tcPr>
          <w:p w14:paraId="1CA5556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(0, 9)</w:t>
            </w:r>
          </w:p>
        </w:tc>
      </w:tr>
      <w:tr w:rsidR="00C852E4" w:rsidRPr="004557E8" w14:paraId="3AD770D7" w14:textId="77777777" w:rsidTr="00C852E4">
        <w:tc>
          <w:tcPr>
            <w:tcW w:w="1622" w:type="dxa"/>
            <w:shd w:val="clear" w:color="auto" w:fill="auto"/>
            <w:vAlign w:val="center"/>
          </w:tcPr>
          <w:p w14:paraId="1FBB6F0B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ЛПНП-холестерин (натощак)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49FAF51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102 (87,123)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5AAB7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16 </w:t>
            </w:r>
          </w:p>
          <w:p w14:paraId="334304B9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(5, 27)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D1909AC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17 (6, 28)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494C481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103 </w:t>
            </w:r>
          </w:p>
          <w:p w14:paraId="4A436B7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(87, 120)</w:t>
            </w:r>
          </w:p>
        </w:tc>
        <w:tc>
          <w:tcPr>
            <w:tcW w:w="1177" w:type="dxa"/>
            <w:vAlign w:val="center"/>
          </w:tcPr>
          <w:p w14:paraId="177EB5EF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(−8, 12)</w:t>
            </w:r>
          </w:p>
        </w:tc>
        <w:tc>
          <w:tcPr>
            <w:tcW w:w="1226" w:type="dxa"/>
            <w:vAlign w:val="center"/>
          </w:tcPr>
          <w:p w14:paraId="7316556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14 (3, 27)</w:t>
            </w:r>
          </w:p>
        </w:tc>
      </w:tr>
      <w:tr w:rsidR="00C852E4" w:rsidRPr="004557E8" w14:paraId="0D5D4033" w14:textId="77777777" w:rsidTr="00C852E4">
        <w:tc>
          <w:tcPr>
            <w:tcW w:w="1622" w:type="dxa"/>
            <w:shd w:val="clear" w:color="auto" w:fill="auto"/>
            <w:vAlign w:val="center"/>
          </w:tcPr>
          <w:p w14:paraId="7610BDE5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Триглицериды (натощак)</w:t>
            </w:r>
            <w:r w:rsidR="0081242A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US" w:bidi="ru-RU"/>
              </w:rPr>
              <w:t>b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B51F991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90 </w:t>
            </w:r>
          </w:p>
          <w:p w14:paraId="12E027CA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(66, 128)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32A74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16 </w:t>
            </w:r>
          </w:p>
          <w:p w14:paraId="43607537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(−3, 44)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7D86FC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9 (−8, 28)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8B060BD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89 </w:t>
            </w:r>
          </w:p>
          <w:p w14:paraId="217C21C8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(68, 126)</w:t>
            </w:r>
          </w:p>
        </w:tc>
        <w:tc>
          <w:tcPr>
            <w:tcW w:w="1177" w:type="dxa"/>
            <w:vAlign w:val="center"/>
          </w:tcPr>
          <w:p w14:paraId="3228B785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−2 </w:t>
            </w:r>
          </w:p>
          <w:p w14:paraId="5F153631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(−22, 18)</w:t>
            </w:r>
          </w:p>
        </w:tc>
        <w:tc>
          <w:tcPr>
            <w:tcW w:w="1226" w:type="dxa"/>
            <w:vAlign w:val="center"/>
          </w:tcPr>
          <w:p w14:paraId="4BCCDD93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 (−8, 38)</w:t>
            </w:r>
          </w:p>
        </w:tc>
      </w:tr>
      <w:tr w:rsidR="00C852E4" w:rsidRPr="004557E8" w14:paraId="003D9351" w14:textId="77777777" w:rsidTr="00C852E4">
        <w:tc>
          <w:tcPr>
            <w:tcW w:w="1622" w:type="dxa"/>
            <w:shd w:val="clear" w:color="auto" w:fill="auto"/>
            <w:vAlign w:val="center"/>
          </w:tcPr>
          <w:p w14:paraId="4D74984D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bidi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bidi="ru-RU"/>
              </w:rPr>
              <w:t>Отношение общего холестерина к ЛПВП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D03AF85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3.4 (2.9, 4.2)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14A38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0.2</w:t>
            </w:r>
          </w:p>
          <w:p w14:paraId="52393C6E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(−0.1, 0.5)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8D02BFD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0.0 </w:t>
            </w:r>
          </w:p>
          <w:p w14:paraId="6534758E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(−0.3, 0.3)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88EB11D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3.4 </w:t>
            </w:r>
          </w:p>
          <w:p w14:paraId="052D67ED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(2.9, 4.2)</w:t>
            </w:r>
          </w:p>
        </w:tc>
        <w:tc>
          <w:tcPr>
            <w:tcW w:w="1177" w:type="dxa"/>
            <w:vAlign w:val="center"/>
          </w:tcPr>
          <w:p w14:paraId="39F8A007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0.0 </w:t>
            </w:r>
          </w:p>
          <w:p w14:paraId="121FF779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(−0.3, 0.3)</w:t>
            </w:r>
          </w:p>
        </w:tc>
        <w:tc>
          <w:tcPr>
            <w:tcW w:w="1226" w:type="dxa"/>
            <w:vAlign w:val="center"/>
          </w:tcPr>
          <w:p w14:paraId="6F65A902" w14:textId="77777777" w:rsidR="00C852E4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0.0 </w:t>
            </w:r>
          </w:p>
          <w:p w14:paraId="2A119994" w14:textId="77777777" w:rsidR="0038794E" w:rsidRPr="004557E8" w:rsidRDefault="0038794E" w:rsidP="00812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(−0.3, 0.3)</w:t>
            </w:r>
          </w:p>
        </w:tc>
      </w:tr>
    </w:tbl>
    <w:p w14:paraId="55494804" w14:textId="77777777" w:rsidR="004F28D8" w:rsidRPr="004557E8" w:rsidRDefault="004F28D8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 xml:space="preserve">ТДФ =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тенофовир</w:t>
      </w:r>
      <w:r w:rsidR="00EE20ED" w:rsidRPr="004557E8">
        <w:rPr>
          <w:rFonts w:ascii="Times New Roman" w:hAnsi="Times New Roman"/>
          <w:sz w:val="20"/>
          <w:szCs w:val="20"/>
          <w:lang w:eastAsia="ru-RU"/>
        </w:rPr>
        <w:t>а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дизопроксил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фумарат</w:t>
      </w:r>
      <w:proofErr w:type="spellEnd"/>
    </w:p>
    <w:p w14:paraId="775CA721" w14:textId="77777777" w:rsidR="004F28D8" w:rsidRPr="004557E8" w:rsidRDefault="004F28D8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 xml:space="preserve">ТАФ =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алафенамид</w:t>
      </w:r>
      <w:proofErr w:type="spellEnd"/>
      <w:r w:rsidR="00A933D8"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A933D8" w:rsidRPr="004557E8">
        <w:rPr>
          <w:rFonts w:ascii="Times New Roman" w:hAnsi="Times New Roman"/>
          <w:sz w:val="20"/>
          <w:szCs w:val="20"/>
          <w:lang w:eastAsia="ru-RU"/>
        </w:rPr>
        <w:t>фумарат</w:t>
      </w:r>
      <w:proofErr w:type="spellEnd"/>
    </w:p>
    <w:p w14:paraId="388497DF" w14:textId="77777777" w:rsidR="008201FB" w:rsidRPr="004557E8" w:rsidRDefault="004F28D8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eastAsia="ru-RU"/>
        </w:rPr>
        <w:t xml:space="preserve">а. P-значение было рассчитано для разницы между группами ТАФ и ТДФ </w:t>
      </w:r>
      <w:r w:rsidR="00C852E4" w:rsidRPr="004557E8">
        <w:rPr>
          <w:rFonts w:ascii="Times New Roman" w:hAnsi="Times New Roman"/>
          <w:sz w:val="20"/>
          <w:szCs w:val="20"/>
          <w:lang w:eastAsia="ru-RU"/>
        </w:rPr>
        <w:t xml:space="preserve">на 48-й неделе 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на основе теста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Wilcoxon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Rank</w:t>
      </w:r>
      <w:proofErr w:type="spellEnd"/>
      <w:r w:rsidRPr="004557E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  <w:lang w:eastAsia="ru-RU"/>
        </w:rPr>
        <w:t>Sum</w:t>
      </w:r>
      <w:proofErr w:type="spellEnd"/>
      <w:r w:rsidR="00B97B75" w:rsidRPr="004557E8">
        <w:rPr>
          <w:rFonts w:ascii="Times New Roman" w:hAnsi="Times New Roman"/>
          <w:sz w:val="20"/>
          <w:szCs w:val="20"/>
          <w:lang w:eastAsia="ru-RU"/>
        </w:rPr>
        <w:t xml:space="preserve"> (критерий </w:t>
      </w:r>
      <w:proofErr w:type="spellStart"/>
      <w:r w:rsidR="00B97B75" w:rsidRPr="004557E8">
        <w:rPr>
          <w:rFonts w:ascii="Times New Roman" w:hAnsi="Times New Roman"/>
          <w:sz w:val="20"/>
          <w:szCs w:val="20"/>
          <w:lang w:eastAsia="ru-RU"/>
        </w:rPr>
        <w:t>Уилкоксона</w:t>
      </w:r>
      <w:proofErr w:type="spellEnd"/>
      <w:r w:rsidR="00B97B75" w:rsidRPr="004557E8">
        <w:rPr>
          <w:rFonts w:ascii="Times New Roman" w:hAnsi="Times New Roman"/>
          <w:sz w:val="20"/>
          <w:szCs w:val="20"/>
          <w:lang w:eastAsia="ru-RU"/>
        </w:rPr>
        <w:t>)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 и было статистически значимым (p &lt;0,001) для средних изменений (Q1, Q3) от исходного уровня общего холестерина, </w:t>
      </w:r>
      <w:r w:rsidR="00B97B75" w:rsidRPr="004557E8">
        <w:rPr>
          <w:rFonts w:ascii="Times New Roman" w:hAnsi="Times New Roman"/>
          <w:sz w:val="20"/>
          <w:szCs w:val="20"/>
          <w:lang w:eastAsia="ru-RU"/>
        </w:rPr>
        <w:t>липопротеидов высокой плотности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B97B75" w:rsidRPr="004557E8">
        <w:rPr>
          <w:rFonts w:ascii="Times New Roman" w:hAnsi="Times New Roman"/>
          <w:sz w:val="20"/>
          <w:szCs w:val="20"/>
          <w:lang w:eastAsia="ru-RU"/>
        </w:rPr>
        <w:t xml:space="preserve">липопротеинов низкой плотности, триглицеридов и </w:t>
      </w:r>
      <w:r w:rsidR="00C852E4" w:rsidRPr="004557E8">
        <w:rPr>
          <w:rFonts w:ascii="Times New Roman" w:hAnsi="Times New Roman"/>
          <w:sz w:val="20"/>
          <w:szCs w:val="20"/>
          <w:lang w:eastAsia="ru-RU"/>
        </w:rPr>
        <w:t xml:space="preserve">соотношения </w:t>
      </w:r>
      <w:r w:rsidR="00B97B75" w:rsidRPr="004557E8">
        <w:rPr>
          <w:rFonts w:ascii="Times New Roman" w:hAnsi="Times New Roman"/>
          <w:sz w:val="20"/>
          <w:szCs w:val="20"/>
          <w:lang w:eastAsia="ru-RU"/>
        </w:rPr>
        <w:t>общего холестерина к ЛПВП</w:t>
      </w:r>
      <w:r w:rsidR="00017171" w:rsidRPr="004557E8">
        <w:rPr>
          <w:rFonts w:ascii="Times New Roman" w:hAnsi="Times New Roman"/>
          <w:sz w:val="20"/>
          <w:szCs w:val="20"/>
          <w:lang w:eastAsia="ru-RU"/>
        </w:rPr>
        <w:t>.</w:t>
      </w:r>
    </w:p>
    <w:p w14:paraId="51C31BA7" w14:textId="77777777" w:rsidR="0038794E" w:rsidRPr="004557E8" w:rsidRDefault="0038794E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557E8">
        <w:rPr>
          <w:rFonts w:ascii="Times New Roman" w:hAnsi="Times New Roman"/>
          <w:sz w:val="20"/>
          <w:szCs w:val="20"/>
          <w:lang w:val="en-US" w:eastAsia="ru-RU"/>
        </w:rPr>
        <w:t>b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. Количество пациентов с уровнем триглицеридов (натощак) в группе </w:t>
      </w:r>
      <w:r w:rsidR="00F304CA" w:rsidRPr="004557E8">
        <w:rPr>
          <w:rFonts w:ascii="Times New Roman" w:hAnsi="Times New Roman"/>
          <w:sz w:val="20"/>
          <w:szCs w:val="20"/>
          <w:lang w:eastAsia="ru-RU"/>
        </w:rPr>
        <w:t>ТАФ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 составляло </w:t>
      </w:r>
      <w:r w:rsidRPr="004557E8">
        <w:rPr>
          <w:rFonts w:ascii="Times New Roman" w:hAnsi="Times New Roman"/>
          <w:sz w:val="20"/>
          <w:szCs w:val="20"/>
          <w:lang w:val="en-US" w:eastAsia="ru-RU"/>
        </w:rPr>
        <w:t>N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=235 на исходном уровне, </w:t>
      </w:r>
      <w:r w:rsidRPr="004557E8">
        <w:rPr>
          <w:rFonts w:ascii="Times New Roman" w:hAnsi="Times New Roman"/>
          <w:sz w:val="20"/>
          <w:szCs w:val="20"/>
          <w:lang w:val="en-US" w:eastAsia="ru-RU"/>
        </w:rPr>
        <w:t>N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=225 на 48-й неделе и </w:t>
      </w:r>
      <w:r w:rsidRPr="004557E8">
        <w:rPr>
          <w:rFonts w:ascii="Times New Roman" w:hAnsi="Times New Roman"/>
          <w:sz w:val="20"/>
          <w:szCs w:val="20"/>
          <w:lang w:val="en-US" w:eastAsia="ru-RU"/>
        </w:rPr>
        <w:t>N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=218 в группе </w:t>
      </w:r>
      <w:r w:rsidRPr="004557E8">
        <w:rPr>
          <w:rFonts w:ascii="Times New Roman" w:hAnsi="Times New Roman"/>
          <w:sz w:val="20"/>
          <w:szCs w:val="20"/>
          <w:lang w:val="en-US" w:eastAsia="ru-RU"/>
        </w:rPr>
        <w:t>TAF</w:t>
      </w:r>
      <w:r w:rsidRPr="004557E8">
        <w:rPr>
          <w:rFonts w:ascii="Times New Roman" w:hAnsi="Times New Roman"/>
          <w:sz w:val="20"/>
          <w:szCs w:val="20"/>
          <w:lang w:eastAsia="ru-RU"/>
        </w:rPr>
        <w:t>-</w:t>
      </w:r>
      <w:r w:rsidRPr="004557E8">
        <w:rPr>
          <w:rFonts w:ascii="Times New Roman" w:hAnsi="Times New Roman"/>
          <w:sz w:val="20"/>
          <w:szCs w:val="20"/>
          <w:lang w:val="en-US" w:eastAsia="ru-RU"/>
        </w:rPr>
        <w:t>TAF</w:t>
      </w:r>
      <w:r w:rsidRPr="004557E8">
        <w:rPr>
          <w:rFonts w:ascii="Times New Roman" w:hAnsi="Times New Roman"/>
          <w:sz w:val="20"/>
          <w:szCs w:val="20"/>
          <w:lang w:eastAsia="ru-RU"/>
        </w:rPr>
        <w:t xml:space="preserve"> на 96-й неделе.</w:t>
      </w:r>
    </w:p>
    <w:p w14:paraId="4508C71C" w14:textId="77777777" w:rsidR="00F304CA" w:rsidRPr="004557E8" w:rsidRDefault="00F304CA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CCB5728" w14:textId="77777777" w:rsidR="00F304CA" w:rsidRPr="004557E8" w:rsidRDefault="00F304CA" w:rsidP="00F304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557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Почечная и/или печеночная недостаточность </w:t>
      </w:r>
      <w:r w:rsidR="00716E8E" w:rsidRPr="004557E8">
        <w:rPr>
          <w:rFonts w:ascii="Times New Roman" w:hAnsi="Times New Roman"/>
          <w:i/>
          <w:iCs/>
          <w:sz w:val="24"/>
          <w:szCs w:val="24"/>
          <w:lang w:eastAsia="ru-RU"/>
        </w:rPr>
        <w:t>в и</w:t>
      </w:r>
      <w:r w:rsidRPr="004557E8">
        <w:rPr>
          <w:rFonts w:ascii="Times New Roman" w:hAnsi="Times New Roman"/>
          <w:i/>
          <w:iCs/>
          <w:sz w:val="24"/>
          <w:szCs w:val="24"/>
          <w:lang w:eastAsia="ru-RU"/>
        </w:rPr>
        <w:t>сследовани</w:t>
      </w:r>
      <w:r w:rsidR="00716E8E" w:rsidRPr="004557E8">
        <w:rPr>
          <w:rFonts w:ascii="Times New Roman" w:hAnsi="Times New Roman"/>
          <w:i/>
          <w:iCs/>
          <w:sz w:val="24"/>
          <w:szCs w:val="24"/>
          <w:lang w:eastAsia="ru-RU"/>
        </w:rPr>
        <w:t>и</w:t>
      </w:r>
      <w:r w:rsidRPr="004557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4035</w:t>
      </w:r>
    </w:p>
    <w:p w14:paraId="1FDB9F81" w14:textId="77777777" w:rsidR="00F304CA" w:rsidRPr="004557E8" w:rsidRDefault="00716E8E" w:rsidP="00F3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>Открытое клиническое и</w:t>
      </w:r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сследование 4035 </w:t>
      </w:r>
      <w:r w:rsidRPr="004557E8">
        <w:rPr>
          <w:rFonts w:ascii="Times New Roman" w:hAnsi="Times New Roman"/>
          <w:sz w:val="24"/>
          <w:szCs w:val="24"/>
          <w:lang w:eastAsia="ru-RU"/>
        </w:rPr>
        <w:t>оценивало</w:t>
      </w:r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эффективност</w:t>
      </w:r>
      <w:r w:rsidRPr="004557E8">
        <w:rPr>
          <w:rFonts w:ascii="Times New Roman" w:hAnsi="Times New Roman"/>
          <w:sz w:val="24"/>
          <w:szCs w:val="24"/>
          <w:lang w:eastAsia="ru-RU"/>
        </w:rPr>
        <w:t>ь</w:t>
      </w:r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и безопасност</w:t>
      </w:r>
      <w:r w:rsidRPr="004557E8">
        <w:rPr>
          <w:rFonts w:ascii="Times New Roman" w:hAnsi="Times New Roman"/>
          <w:sz w:val="24"/>
          <w:szCs w:val="24"/>
          <w:lang w:eastAsia="ru-RU"/>
        </w:rPr>
        <w:t xml:space="preserve">ь </w:t>
      </w:r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перехода с другого противовирусного режима на </w:t>
      </w:r>
      <w:proofErr w:type="spellStart"/>
      <w:r w:rsidR="00F304CA" w:rsidRPr="004557E8">
        <w:rPr>
          <w:rFonts w:ascii="Times New Roman" w:hAnsi="Times New Roman"/>
          <w:sz w:val="24"/>
          <w:szCs w:val="24"/>
          <w:lang w:eastAsia="ru-RU"/>
        </w:rPr>
        <w:t>тенофовир</w:t>
      </w:r>
      <w:proofErr w:type="spellEnd"/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304CA" w:rsidRPr="004557E8">
        <w:rPr>
          <w:rFonts w:ascii="Times New Roman" w:hAnsi="Times New Roman"/>
          <w:sz w:val="24"/>
          <w:szCs w:val="24"/>
          <w:lang w:eastAsia="ru-RU"/>
        </w:rPr>
        <w:t>алафенамид</w:t>
      </w:r>
      <w:proofErr w:type="spellEnd"/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у пациентов с </w:t>
      </w:r>
      <w:proofErr w:type="spellStart"/>
      <w:r w:rsidR="00F304CA" w:rsidRPr="004557E8">
        <w:rPr>
          <w:rFonts w:ascii="Times New Roman" w:hAnsi="Times New Roman"/>
          <w:sz w:val="24"/>
          <w:szCs w:val="24"/>
          <w:lang w:eastAsia="ru-RU"/>
        </w:rPr>
        <w:t>вирусологически</w:t>
      </w:r>
      <w:proofErr w:type="spellEnd"/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подавленной инфекцией ВГВ. Часть A исследования включала пациентов с нарушением функции почек от умеренной до тяжелой степени (</w:t>
      </w:r>
      <w:proofErr w:type="spellStart"/>
      <w:r w:rsidR="00F304CA" w:rsidRPr="004557E8">
        <w:rPr>
          <w:rFonts w:ascii="Times New Roman" w:hAnsi="Times New Roman"/>
          <w:sz w:val="24"/>
          <w:szCs w:val="24"/>
          <w:lang w:eastAsia="ru-RU"/>
        </w:rPr>
        <w:t>рСКФ</w:t>
      </w:r>
      <w:proofErr w:type="spellEnd"/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по методу </w:t>
      </w:r>
      <w:proofErr w:type="spellStart"/>
      <w:r w:rsidR="00F304CA" w:rsidRPr="004557E8">
        <w:rPr>
          <w:rFonts w:ascii="Times New Roman" w:hAnsi="Times New Roman"/>
          <w:sz w:val="24"/>
          <w:szCs w:val="24"/>
          <w:lang w:eastAsia="ru-RU"/>
        </w:rPr>
        <w:t>Кокрофта-Голта</w:t>
      </w:r>
      <w:proofErr w:type="spellEnd"/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от 15 до 59 мл/мин; когорта 1, N = 78) или терминальной почечной недостаточностью (</w:t>
      </w:r>
      <w:proofErr w:type="spellStart"/>
      <w:r w:rsidR="00F304CA" w:rsidRPr="004557E8">
        <w:rPr>
          <w:rFonts w:ascii="Times New Roman" w:hAnsi="Times New Roman"/>
          <w:sz w:val="24"/>
          <w:szCs w:val="24"/>
          <w:lang w:eastAsia="ru-RU"/>
        </w:rPr>
        <w:t>рСКФ</w:t>
      </w:r>
      <w:proofErr w:type="spellEnd"/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по методу </w:t>
      </w:r>
      <w:proofErr w:type="spellStart"/>
      <w:r w:rsidR="00F304CA" w:rsidRPr="004557E8">
        <w:rPr>
          <w:rFonts w:ascii="Times New Roman" w:hAnsi="Times New Roman"/>
          <w:sz w:val="24"/>
          <w:szCs w:val="24"/>
          <w:lang w:eastAsia="ru-RU"/>
        </w:rPr>
        <w:t>Кокрофта-Голта</w:t>
      </w:r>
      <w:proofErr w:type="spellEnd"/>
      <w:r w:rsidR="00F304CA" w:rsidRPr="004557E8">
        <w:rPr>
          <w:rFonts w:ascii="Times New Roman" w:hAnsi="Times New Roman"/>
          <w:sz w:val="24"/>
          <w:szCs w:val="24"/>
          <w:lang w:eastAsia="ru-RU"/>
        </w:rPr>
        <w:t xml:space="preserve"> &lt; 15 мл/мин) на гемодиализе (когорта 2, N=15). Часть B исследования включала пациентов (N = 31) с умеренной или тяжелой печеночной недостаточностью (класс B или C по Чайлд-Пью при скрининге или наличие в анамнезе баллов CPT ≥ 7 при любом балле CPT ≤ 12 при скрининге).</w:t>
      </w:r>
    </w:p>
    <w:p w14:paraId="4782E903" w14:textId="77777777" w:rsidR="003F1D2C" w:rsidRPr="004557E8" w:rsidRDefault="003F1D2C" w:rsidP="00F3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57E8">
        <w:rPr>
          <w:rFonts w:ascii="Times New Roman" w:hAnsi="Times New Roman"/>
          <w:sz w:val="24"/>
          <w:szCs w:val="24"/>
          <w:lang w:eastAsia="ru-RU"/>
        </w:rPr>
        <w:t xml:space="preserve">Первичной конечной точкой была доля пациентов с ДНК ВГВ </w:t>
      </w:r>
      <w:proofErr w:type="gramStart"/>
      <w:r w:rsidRPr="004557E8">
        <w:rPr>
          <w:rFonts w:ascii="Times New Roman" w:hAnsi="Times New Roman"/>
          <w:sz w:val="24"/>
          <w:szCs w:val="24"/>
          <w:lang w:eastAsia="ru-RU"/>
        </w:rPr>
        <w:t>&lt; 20</w:t>
      </w:r>
      <w:proofErr w:type="gram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МЕ/мл на 24-й неделе. Вторичные конечные точки эффективности на 24-й и 96-й неделях включали долю пациентов с ДНК ВГВ &lt; 20 МЕ/мл и мишенью, обнаруженной/не обнаруженной (т.е. &lt; LLOD), доля пациентов с биохимическим ответом (нормальный уровень АЛТ и нормализованный уровень АЛТ), доля пациентов с серологическим ответом (потеря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HBsAg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сероконверсия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к анти-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HBs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потеря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сероконверсия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к анти-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HBe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4557E8">
        <w:rPr>
          <w:rFonts w:ascii="Times New Roman" w:hAnsi="Times New Roman"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sz w:val="24"/>
          <w:szCs w:val="24"/>
          <w:lang w:eastAsia="ru-RU"/>
        </w:rPr>
        <w:t>-позитивных пациентов) и изменение по сравнению с исходным уровнем показателей CPT и модели терминальной стадии заболевания печени (MELD) для пациентов с нарушением функции печени в части B.</w:t>
      </w:r>
    </w:p>
    <w:p w14:paraId="0431E711" w14:textId="77777777" w:rsidR="003F1D2C" w:rsidRPr="004557E8" w:rsidRDefault="003F1D2C" w:rsidP="003F1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i/>
          <w:iCs/>
          <w:sz w:val="24"/>
          <w:szCs w:val="24"/>
          <w:lang w:eastAsia="ru-RU"/>
        </w:rPr>
        <w:t>Взрослые пациенты с почечной недостаточностью в исследовании 4035, часть A</w:t>
      </w:r>
    </w:p>
    <w:p w14:paraId="097A3BE4" w14:textId="77777777" w:rsidR="003F1D2C" w:rsidRPr="004557E8" w:rsidRDefault="003F1D2C" w:rsidP="003F1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На исходном уровне у 98% (91/93) пациентов в Части А уровень ДНК ВГВ был </w:t>
      </w:r>
      <w:proofErr w:type="gram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&lt; 20</w:t>
      </w:r>
      <w:proofErr w:type="gram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МЕ/мл, а у 66% (61/93) уровень ДНК ВГВ был неопределяемым. Средний возраст </w:t>
      </w:r>
      <w:r w:rsidRPr="004557E8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составлял 65 лет, 74% были мужчинами, 77% были азиатами, 16% были </w:t>
      </w:r>
      <w:r w:rsidR="00407DD8" w:rsidRPr="004557E8">
        <w:rPr>
          <w:rFonts w:ascii="Times New Roman" w:hAnsi="Times New Roman"/>
          <w:sz w:val="24"/>
          <w:szCs w:val="24"/>
          <w:lang w:val="kk-KZ" w:bidi="ru-RU"/>
        </w:rPr>
        <w:t xml:space="preserve">европиодной расы </w:t>
      </w: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и 83% были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-негативными. Наиболее часто используемые пероральные противовирусные препараты для лечения ВГВ включали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дизопроксил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 = 58),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ламивудин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 = 46),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адефовир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дипивоксил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 = 46) 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энтекавир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 = 43). На исходном уровне 97% и 95% пациентов имели АЛТ ≤ ВГН на основании центральных лабораторных критериев и критериев AASLD 2018 года соответственно; медиана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рСКФ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по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Кокрофту-Голту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составила 43,7 мл/мин (45,7 мл/мин в группе 1 и 7,32 мл/мин в группе 2); и 34% пациентов имели в анамнезе цирроз печени.</w:t>
      </w:r>
    </w:p>
    <w:p w14:paraId="31583C99" w14:textId="77777777" w:rsidR="003F1D2C" w:rsidRPr="004557E8" w:rsidRDefault="003F1D2C" w:rsidP="003F1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Результаты лечения в рамках исследования 4035, часть A, на 24-й и 96-й неделе представлены в таблице 10.</w:t>
      </w:r>
    </w:p>
    <w:p w14:paraId="211977DA" w14:textId="77777777" w:rsidR="003F1D2C" w:rsidRPr="004557E8" w:rsidRDefault="003F1D2C" w:rsidP="003F1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Таблица</w:t>
      </w:r>
      <w:r w:rsidR="00CA061C"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10: Параметры эффективности для пациентов с почечной недостаточностью на 24-й и 96-й неделе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1162"/>
        <w:gridCol w:w="1116"/>
        <w:gridCol w:w="1099"/>
        <w:gridCol w:w="996"/>
        <w:gridCol w:w="1007"/>
      </w:tblGrid>
      <w:tr w:rsidR="00CA061C" w:rsidRPr="004557E8" w14:paraId="228545BF" w14:textId="77777777" w:rsidTr="00CB1AE0">
        <w:tc>
          <w:tcPr>
            <w:tcW w:w="2547" w:type="dxa"/>
            <w:vAlign w:val="center"/>
          </w:tcPr>
          <w:p w14:paraId="6917977F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491BD0E8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vertAlign w:val="superscript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1</w:t>
            </w:r>
            <w:r w:rsidRPr="004557E8">
              <w:rPr>
                <w:b/>
                <w:sz w:val="24"/>
                <w:szCs w:val="24"/>
                <w:vertAlign w:val="superscript"/>
                <w:lang w:eastAsia="ru-RU"/>
              </w:rPr>
              <w:t>а</w:t>
            </w:r>
          </w:p>
          <w:p w14:paraId="4B2A3217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N=78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5" w:type="dxa"/>
            <w:gridSpan w:val="2"/>
            <w:vAlign w:val="center"/>
          </w:tcPr>
          <w:p w14:paraId="2CD08615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vertAlign w:val="superscript"/>
                <w:lang w:val="en-US"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2</w:t>
            </w:r>
            <w:r w:rsidRPr="004557E8">
              <w:rPr>
                <w:b/>
                <w:sz w:val="24"/>
                <w:szCs w:val="24"/>
                <w:vertAlign w:val="superscript"/>
                <w:lang w:val="en-US" w:eastAsia="ru-RU"/>
              </w:rPr>
              <w:t>b</w:t>
            </w:r>
          </w:p>
          <w:p w14:paraId="56B4926B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N=15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3" w:type="dxa"/>
            <w:gridSpan w:val="2"/>
            <w:vAlign w:val="center"/>
          </w:tcPr>
          <w:p w14:paraId="6861F4F3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Общая</w:t>
            </w:r>
          </w:p>
          <w:p w14:paraId="10FF0591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</w:t>
            </w:r>
            <w:r w:rsidRPr="004557E8">
              <w:rPr>
                <w:b/>
                <w:sz w:val="24"/>
                <w:szCs w:val="24"/>
                <w:lang w:eastAsia="ru-RU"/>
              </w:rPr>
              <w:t>93)</w:t>
            </w:r>
          </w:p>
        </w:tc>
      </w:tr>
      <w:tr w:rsidR="00CA061C" w:rsidRPr="004557E8" w14:paraId="6704A511" w14:textId="77777777" w:rsidTr="00CB1AE0">
        <w:tc>
          <w:tcPr>
            <w:tcW w:w="2547" w:type="dxa"/>
            <w:vAlign w:val="center"/>
          </w:tcPr>
          <w:p w14:paraId="6DD18175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6053E0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162" w:type="dxa"/>
            <w:vAlign w:val="center"/>
          </w:tcPr>
          <w:p w14:paraId="1F7E8148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96 неделя</w:t>
            </w:r>
          </w:p>
        </w:tc>
        <w:tc>
          <w:tcPr>
            <w:tcW w:w="1116" w:type="dxa"/>
            <w:vAlign w:val="center"/>
          </w:tcPr>
          <w:p w14:paraId="533276E1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099" w:type="dxa"/>
            <w:vAlign w:val="center"/>
          </w:tcPr>
          <w:p w14:paraId="520779C4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96 неделя</w:t>
            </w:r>
          </w:p>
        </w:tc>
        <w:tc>
          <w:tcPr>
            <w:tcW w:w="996" w:type="dxa"/>
            <w:vAlign w:val="center"/>
          </w:tcPr>
          <w:p w14:paraId="03D740DA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007" w:type="dxa"/>
            <w:vAlign w:val="center"/>
          </w:tcPr>
          <w:p w14:paraId="73DFAD34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96 неделя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</w:tr>
      <w:tr w:rsidR="00CA061C" w:rsidRPr="004557E8" w14:paraId="251A7C4C" w14:textId="77777777" w:rsidTr="00CB1AE0">
        <w:tc>
          <w:tcPr>
            <w:tcW w:w="9061" w:type="dxa"/>
            <w:gridSpan w:val="7"/>
            <w:vAlign w:val="center"/>
          </w:tcPr>
          <w:p w14:paraId="383D5CB6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 xml:space="preserve">ДНК </w:t>
            </w:r>
            <w:proofErr w:type="spellStart"/>
            <w:r w:rsidRPr="004557E8">
              <w:rPr>
                <w:b/>
                <w:sz w:val="24"/>
                <w:szCs w:val="24"/>
                <w:lang w:eastAsia="ru-RU"/>
              </w:rPr>
              <w:t>ВГВ</w:t>
            </w:r>
            <w:r w:rsidRPr="004557E8">
              <w:rPr>
                <w:b/>
                <w:sz w:val="24"/>
                <w:szCs w:val="24"/>
                <w:vertAlign w:val="superscript"/>
                <w:lang w:eastAsia="ru-RU"/>
              </w:rPr>
              <w:t>с</w:t>
            </w:r>
            <w:proofErr w:type="spellEnd"/>
          </w:p>
        </w:tc>
      </w:tr>
      <w:tr w:rsidR="00CA061C" w:rsidRPr="004557E8" w14:paraId="3AD1B677" w14:textId="77777777" w:rsidTr="00CB1AE0">
        <w:tc>
          <w:tcPr>
            <w:tcW w:w="2547" w:type="dxa"/>
            <w:vAlign w:val="center"/>
          </w:tcPr>
          <w:p w14:paraId="041F42B5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ДНК ВГВ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 xml:space="preserve"> &lt;</w:t>
            </w:r>
            <w:r w:rsidRPr="004557E8">
              <w:rPr>
                <w:bCs/>
                <w:sz w:val="24"/>
                <w:szCs w:val="24"/>
                <w:lang w:eastAsia="ru-RU"/>
              </w:rPr>
              <w:t>20 МЕ/мл</w:t>
            </w:r>
          </w:p>
        </w:tc>
        <w:tc>
          <w:tcPr>
            <w:tcW w:w="1134" w:type="dxa"/>
            <w:vAlign w:val="center"/>
          </w:tcPr>
          <w:p w14:paraId="3E4EDE17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76/78 (97.4%)</w:t>
            </w:r>
          </w:p>
        </w:tc>
        <w:tc>
          <w:tcPr>
            <w:tcW w:w="1162" w:type="dxa"/>
            <w:vAlign w:val="center"/>
          </w:tcPr>
          <w:p w14:paraId="72AAE501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65/78 (83.3%)</w:t>
            </w:r>
          </w:p>
        </w:tc>
        <w:tc>
          <w:tcPr>
            <w:tcW w:w="1116" w:type="dxa"/>
            <w:vAlign w:val="center"/>
          </w:tcPr>
          <w:p w14:paraId="21205099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15/15 (100.0%)</w:t>
            </w:r>
          </w:p>
        </w:tc>
        <w:tc>
          <w:tcPr>
            <w:tcW w:w="1099" w:type="dxa"/>
            <w:vAlign w:val="center"/>
          </w:tcPr>
          <w:p w14:paraId="6FC0D386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13/15 (86.7%)</w:t>
            </w:r>
          </w:p>
        </w:tc>
        <w:tc>
          <w:tcPr>
            <w:tcW w:w="996" w:type="dxa"/>
            <w:vAlign w:val="center"/>
          </w:tcPr>
          <w:p w14:paraId="537FA2A1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91/93 (97.8%)</w:t>
            </w:r>
          </w:p>
        </w:tc>
        <w:tc>
          <w:tcPr>
            <w:tcW w:w="1007" w:type="dxa"/>
            <w:vAlign w:val="center"/>
          </w:tcPr>
          <w:p w14:paraId="628EEA81" w14:textId="77777777" w:rsidR="00D6530A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78/93</w:t>
            </w:r>
          </w:p>
          <w:p w14:paraId="1FC745E9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(83.9%)</w:t>
            </w:r>
          </w:p>
        </w:tc>
      </w:tr>
      <w:tr w:rsidR="00CA061C" w:rsidRPr="004557E8" w14:paraId="4CD67880" w14:textId="77777777" w:rsidTr="00CB1AE0">
        <w:tc>
          <w:tcPr>
            <w:tcW w:w="9061" w:type="dxa"/>
            <w:gridSpan w:val="7"/>
            <w:vAlign w:val="center"/>
          </w:tcPr>
          <w:p w14:paraId="1A51BD43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4557E8">
              <w:rPr>
                <w:b/>
                <w:sz w:val="24"/>
                <w:szCs w:val="24"/>
                <w:lang w:eastAsia="ru-RU"/>
              </w:rPr>
              <w:t>АЛТ</w:t>
            </w:r>
            <w:r w:rsidRPr="004557E8">
              <w:rPr>
                <w:b/>
                <w:sz w:val="24"/>
                <w:szCs w:val="24"/>
                <w:vertAlign w:val="superscript"/>
                <w:lang w:eastAsia="ru-RU"/>
              </w:rPr>
              <w:t>с</w:t>
            </w:r>
            <w:proofErr w:type="spellEnd"/>
          </w:p>
        </w:tc>
      </w:tr>
      <w:tr w:rsidR="00CA061C" w:rsidRPr="004557E8" w14:paraId="2E3AEE5C" w14:textId="77777777" w:rsidTr="00CB1AE0">
        <w:tc>
          <w:tcPr>
            <w:tcW w:w="2547" w:type="dxa"/>
            <w:vAlign w:val="center"/>
          </w:tcPr>
          <w:p w14:paraId="5AD99313" w14:textId="77777777" w:rsidR="00CA061C" w:rsidRPr="004557E8" w:rsidRDefault="00CA061C" w:rsidP="00CB1A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Нормальный АЛТ (центральная лаборатория)</w:t>
            </w:r>
          </w:p>
        </w:tc>
        <w:tc>
          <w:tcPr>
            <w:tcW w:w="1134" w:type="dxa"/>
            <w:vAlign w:val="center"/>
          </w:tcPr>
          <w:p w14:paraId="67EC322A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72/78 (92.3%)</w:t>
            </w:r>
          </w:p>
        </w:tc>
        <w:tc>
          <w:tcPr>
            <w:tcW w:w="1162" w:type="dxa"/>
            <w:vAlign w:val="center"/>
          </w:tcPr>
          <w:p w14:paraId="6B4D7588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64/78 (82.1%)</w:t>
            </w:r>
          </w:p>
        </w:tc>
        <w:tc>
          <w:tcPr>
            <w:tcW w:w="1116" w:type="dxa"/>
            <w:vAlign w:val="center"/>
          </w:tcPr>
          <w:p w14:paraId="15A2E16A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14/15 (93.3%)</w:t>
            </w:r>
          </w:p>
        </w:tc>
        <w:tc>
          <w:tcPr>
            <w:tcW w:w="1099" w:type="dxa"/>
            <w:vAlign w:val="center"/>
          </w:tcPr>
          <w:p w14:paraId="24AE4E7D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13/15 (86.7%)</w:t>
            </w:r>
          </w:p>
        </w:tc>
        <w:tc>
          <w:tcPr>
            <w:tcW w:w="996" w:type="dxa"/>
            <w:vAlign w:val="center"/>
          </w:tcPr>
          <w:p w14:paraId="4E05E6FA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86/93 (92.5%)</w:t>
            </w:r>
          </w:p>
        </w:tc>
        <w:tc>
          <w:tcPr>
            <w:tcW w:w="1007" w:type="dxa"/>
            <w:vAlign w:val="center"/>
          </w:tcPr>
          <w:p w14:paraId="537AEF4B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77/93 (82.8%)</w:t>
            </w:r>
          </w:p>
        </w:tc>
      </w:tr>
      <w:tr w:rsidR="00CA061C" w:rsidRPr="004557E8" w14:paraId="3D423884" w14:textId="77777777" w:rsidTr="00CB1AE0">
        <w:tc>
          <w:tcPr>
            <w:tcW w:w="2547" w:type="dxa"/>
            <w:vAlign w:val="center"/>
          </w:tcPr>
          <w:p w14:paraId="25D6F84B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Нормальный АЛТ</w:t>
            </w:r>
          </w:p>
          <w:p w14:paraId="430029EA" w14:textId="77777777" w:rsidR="00D6530A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(AASLD)</w:t>
            </w:r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е</w:t>
            </w:r>
          </w:p>
        </w:tc>
        <w:tc>
          <w:tcPr>
            <w:tcW w:w="1134" w:type="dxa"/>
            <w:vAlign w:val="center"/>
          </w:tcPr>
          <w:p w14:paraId="7854D996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68/78 (87.2%)</w:t>
            </w:r>
          </w:p>
        </w:tc>
        <w:tc>
          <w:tcPr>
            <w:tcW w:w="1162" w:type="dxa"/>
            <w:vAlign w:val="center"/>
          </w:tcPr>
          <w:p w14:paraId="6A2C38B0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58/78 (74.4%)</w:t>
            </w:r>
          </w:p>
        </w:tc>
        <w:tc>
          <w:tcPr>
            <w:tcW w:w="1116" w:type="dxa"/>
            <w:vAlign w:val="center"/>
          </w:tcPr>
          <w:p w14:paraId="3D87B90A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14/15 (93.3%)</w:t>
            </w:r>
          </w:p>
        </w:tc>
        <w:tc>
          <w:tcPr>
            <w:tcW w:w="1099" w:type="dxa"/>
            <w:vAlign w:val="center"/>
          </w:tcPr>
          <w:p w14:paraId="1AD28D33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13/15 (86.7%)</w:t>
            </w:r>
          </w:p>
        </w:tc>
        <w:tc>
          <w:tcPr>
            <w:tcW w:w="996" w:type="dxa"/>
            <w:vAlign w:val="center"/>
          </w:tcPr>
          <w:p w14:paraId="1A7FABD4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82/93 (88.2%)</w:t>
            </w:r>
          </w:p>
        </w:tc>
        <w:tc>
          <w:tcPr>
            <w:tcW w:w="1007" w:type="dxa"/>
            <w:vAlign w:val="center"/>
          </w:tcPr>
          <w:p w14:paraId="2EEFB6BD" w14:textId="77777777" w:rsidR="00CA061C" w:rsidRPr="004557E8" w:rsidRDefault="00D6530A" w:rsidP="00CB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71/93 (76.3%)</w:t>
            </w:r>
          </w:p>
        </w:tc>
      </w:tr>
    </w:tbl>
    <w:p w14:paraId="307F0136" w14:textId="77777777" w:rsidR="00D6530A" w:rsidRPr="004557E8" w:rsidRDefault="00FE1AEE" w:rsidP="00D65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a</w:t>
      </w:r>
      <w:r w:rsidR="00D6530A" w:rsidRPr="004557E8">
        <w:rPr>
          <w:rFonts w:ascii="Times New Roman" w:hAnsi="Times New Roman"/>
          <w:bCs/>
          <w:sz w:val="20"/>
          <w:szCs w:val="20"/>
          <w:lang w:eastAsia="ru-RU"/>
        </w:rPr>
        <w:t>. Часть A Когорта 1 включает пациентов с умеренной или тяжелой почечной недостаточностью.</w:t>
      </w:r>
    </w:p>
    <w:p w14:paraId="135E459E" w14:textId="77777777" w:rsidR="00D6530A" w:rsidRPr="004557E8" w:rsidRDefault="00FE1AEE" w:rsidP="00D65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b</w:t>
      </w:r>
      <w:r w:rsidR="00D6530A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. Часть A Когорта 2 включает пациентов с </w:t>
      </w:r>
      <w:proofErr w:type="spellStart"/>
      <w:r w:rsidR="00D6530A" w:rsidRPr="004557E8">
        <w:rPr>
          <w:rFonts w:ascii="Times New Roman" w:hAnsi="Times New Roman"/>
          <w:bCs/>
          <w:sz w:val="20"/>
          <w:szCs w:val="20"/>
          <w:lang w:eastAsia="ru-RU"/>
        </w:rPr>
        <w:t>тХПН</w:t>
      </w:r>
      <w:proofErr w:type="spellEnd"/>
      <w:r w:rsidR="00D6530A" w:rsidRPr="004557E8">
        <w:rPr>
          <w:rFonts w:ascii="Times New Roman" w:hAnsi="Times New Roman"/>
          <w:bCs/>
          <w:sz w:val="20"/>
          <w:szCs w:val="20"/>
          <w:lang w:eastAsia="ru-RU"/>
        </w:rPr>
        <w:t>, находящихся на гемодиализе.</w:t>
      </w:r>
    </w:p>
    <w:p w14:paraId="22A17F70" w14:textId="77777777" w:rsidR="00D6530A" w:rsidRPr="004557E8" w:rsidRDefault="00FE1AEE" w:rsidP="00D65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c</w:t>
      </w:r>
      <w:r w:rsidR="00D6530A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. Отсутствует = </w:t>
      </w:r>
      <w:r w:rsidR="006573DC" w:rsidRPr="004557E8">
        <w:rPr>
          <w:rFonts w:ascii="Times New Roman" w:hAnsi="Times New Roman"/>
          <w:sz w:val="20"/>
          <w:szCs w:val="20"/>
          <w:lang w:bidi="ru-RU"/>
        </w:rPr>
        <w:t>сбой анализов</w:t>
      </w:r>
    </w:p>
    <w:p w14:paraId="28A2B8A4" w14:textId="77777777" w:rsidR="00D6530A" w:rsidRPr="004557E8" w:rsidRDefault="00FE1AEE" w:rsidP="00D65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d</w:t>
      </w:r>
      <w:r w:rsidR="00D6530A" w:rsidRPr="004557E8">
        <w:rPr>
          <w:rFonts w:ascii="Times New Roman" w:hAnsi="Times New Roman"/>
          <w:bCs/>
          <w:sz w:val="20"/>
          <w:szCs w:val="20"/>
          <w:lang w:eastAsia="ru-RU"/>
        </w:rPr>
        <w:t>. Знаменатель включает 12 пациентов (11 для когорты 1 и 1 для когорты 2), которые досрочно прекратили прием исследуемого препарата.</w:t>
      </w:r>
    </w:p>
    <w:p w14:paraId="059233F6" w14:textId="77777777" w:rsidR="00CA061C" w:rsidRPr="004557E8" w:rsidRDefault="00FE1AEE" w:rsidP="00D65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e</w:t>
      </w:r>
      <w:r w:rsidR="00D6530A" w:rsidRPr="004557E8">
        <w:rPr>
          <w:rFonts w:ascii="Times New Roman" w:hAnsi="Times New Roman"/>
          <w:bCs/>
          <w:sz w:val="20"/>
          <w:szCs w:val="20"/>
          <w:lang w:eastAsia="ru-RU"/>
        </w:rPr>
        <w:t>. Критерии Американской ассоциации изучения заболеваний печени (AASLD) 2018 г.</w:t>
      </w:r>
    </w:p>
    <w:p w14:paraId="54E029AD" w14:textId="77777777" w:rsidR="003F1D2C" w:rsidRPr="004557E8" w:rsidRDefault="003F1D2C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6ABAC5D" w14:textId="77777777" w:rsidR="00123B15" w:rsidRPr="004557E8" w:rsidRDefault="00123B15" w:rsidP="00123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i/>
          <w:iCs/>
          <w:sz w:val="24"/>
          <w:szCs w:val="24"/>
          <w:lang w:eastAsia="ru-RU"/>
        </w:rPr>
        <w:t>Взрослые пациенты с нарушением функции печени в исследовании 4035, часть B</w:t>
      </w:r>
    </w:p>
    <w:p w14:paraId="73002F71" w14:textId="77777777" w:rsidR="00123B15" w:rsidRPr="004557E8" w:rsidRDefault="00123B15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На исходном уровне у 100% (31/31) пациентов в части B исходный уровень ДНК HBV был </w:t>
      </w:r>
      <w:proofErr w:type="gram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&lt; 20</w:t>
      </w:r>
      <w:proofErr w:type="gram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МЕ/мл, а у 65% (20/31) уровень ДНК HBV был неопределяемым. Средний возраст составлял 57 лет (19% ≥ 65 лет), 68% были мужчинами, 81% были азиатами, 13% были </w:t>
      </w:r>
      <w:r w:rsidR="00407DD8" w:rsidRPr="004557E8">
        <w:rPr>
          <w:rFonts w:ascii="Times New Roman" w:hAnsi="Times New Roman"/>
          <w:sz w:val="24"/>
          <w:szCs w:val="24"/>
          <w:lang w:val="kk-KZ" w:bidi="ru-RU"/>
        </w:rPr>
        <w:t xml:space="preserve">европиодной расы </w:t>
      </w: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и 90% были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-негативными. Наиболее часто используемые пероральные противовирусные препараты для лечения ВГВ включали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дизопроксил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 = 21),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ламивудин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 = 14),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энтекавир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 = 14) 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адефовир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дипивоксил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 = 10). На исходном уровне 87% и 68% пациентов имели АЛТ ≤ ВГН на основании центральных лабораторных критериев и критериев AASLD 2018 года соответственно; медиана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рСКФ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по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Кокрофту-Голту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составила 98,5 мл/мин; У 97% пациентов в анамнезе был цирроз печени, средний (диапазон) балл CPT составлял 6 (5–10), а медианный (диапазон) балл MELD составлял 10 (6–17).</w:t>
      </w:r>
    </w:p>
    <w:p w14:paraId="69290313" w14:textId="77777777" w:rsidR="00DB5C6E" w:rsidRPr="004557E8" w:rsidRDefault="00DB5C6E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Результаты лечения в исследовании 4035, часть B, на 24-й и 96-й неделях представлены в Таблице 11.</w:t>
      </w:r>
    </w:p>
    <w:p w14:paraId="6567E803" w14:textId="77777777" w:rsidR="00CB1AE0" w:rsidRPr="004557E8" w:rsidRDefault="00CB1AE0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E3C9B72" w14:textId="77777777" w:rsidR="00CB1AE0" w:rsidRPr="004557E8" w:rsidRDefault="00CB1AE0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Таблица 11</w:t>
      </w:r>
      <w:r w:rsidR="006573DC" w:rsidRPr="004557E8">
        <w:rPr>
          <w:rFonts w:ascii="Times New Roman" w:hAnsi="Times New Roman"/>
          <w:bCs/>
          <w:sz w:val="24"/>
          <w:szCs w:val="24"/>
          <w:lang w:eastAsia="ru-RU"/>
        </w:rPr>
        <w:t>: Параметры эффективности для пациентов с печеночной недостаточностью на 24-й и 96-й неделе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8"/>
      </w:tblGrid>
      <w:tr w:rsidR="00DB5C6E" w:rsidRPr="004557E8" w14:paraId="151ED81C" w14:textId="77777777" w:rsidTr="006573DC">
        <w:tc>
          <w:tcPr>
            <w:tcW w:w="5098" w:type="dxa"/>
          </w:tcPr>
          <w:p w14:paraId="562454E1" w14:textId="77777777" w:rsidR="00DB5C6E" w:rsidRPr="004557E8" w:rsidRDefault="00DB5C6E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gridSpan w:val="2"/>
            <w:vAlign w:val="center"/>
          </w:tcPr>
          <w:p w14:paraId="4AD92E3A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Часть 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B</w:t>
            </w:r>
          </w:p>
          <w:p w14:paraId="08CF55E5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N=31)</w:t>
            </w:r>
          </w:p>
        </w:tc>
      </w:tr>
      <w:tr w:rsidR="00DB5C6E" w:rsidRPr="004557E8" w14:paraId="301D5697" w14:textId="77777777" w:rsidTr="006573DC">
        <w:tc>
          <w:tcPr>
            <w:tcW w:w="5098" w:type="dxa"/>
          </w:tcPr>
          <w:p w14:paraId="5B555A33" w14:textId="77777777" w:rsidR="00DB5C6E" w:rsidRPr="004557E8" w:rsidRDefault="00DB5C6E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47240EC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Неделя 24</w:t>
            </w:r>
          </w:p>
        </w:tc>
        <w:tc>
          <w:tcPr>
            <w:tcW w:w="1978" w:type="dxa"/>
            <w:vAlign w:val="center"/>
          </w:tcPr>
          <w:p w14:paraId="5E319B3D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Неделя 96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</w:tc>
      </w:tr>
      <w:tr w:rsidR="00DB5C6E" w:rsidRPr="004557E8" w14:paraId="22A9BACD" w14:textId="77777777" w:rsidTr="006573DC">
        <w:tc>
          <w:tcPr>
            <w:tcW w:w="5098" w:type="dxa"/>
          </w:tcPr>
          <w:p w14:paraId="708FBA1E" w14:textId="77777777" w:rsidR="00DB5C6E" w:rsidRPr="004557E8" w:rsidRDefault="00DB5C6E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ДНК ВГВ</w:t>
            </w:r>
            <w:r w:rsidR="006573DC" w:rsidRPr="004557E8">
              <w:rPr>
                <w:b/>
                <w:sz w:val="24"/>
                <w:szCs w:val="24"/>
                <w:vertAlign w:val="superscript"/>
                <w:lang w:val="en-US" w:eastAsia="ru-RU"/>
              </w:rPr>
              <w:t>a</w:t>
            </w:r>
          </w:p>
        </w:tc>
        <w:tc>
          <w:tcPr>
            <w:tcW w:w="1985" w:type="dxa"/>
            <w:vAlign w:val="center"/>
          </w:tcPr>
          <w:p w14:paraId="54E3F3E1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480FD6A1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B5C6E" w:rsidRPr="004557E8" w14:paraId="25495A74" w14:textId="77777777" w:rsidTr="006573DC">
        <w:tc>
          <w:tcPr>
            <w:tcW w:w="5098" w:type="dxa"/>
          </w:tcPr>
          <w:p w14:paraId="64701BEB" w14:textId="77777777" w:rsidR="00DB5C6E" w:rsidRPr="004557E8" w:rsidRDefault="00DB5C6E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4557E8">
              <w:rPr>
                <w:sz w:val="24"/>
                <w:szCs w:val="24"/>
                <w:lang w:eastAsia="ru-RU"/>
              </w:rPr>
              <w:lastRenderedPageBreak/>
              <w:t xml:space="preserve">ДНК ВГВ </w:t>
            </w:r>
            <w:proofErr w:type="gramStart"/>
            <w:r w:rsidRPr="004557E8">
              <w:rPr>
                <w:sz w:val="24"/>
                <w:szCs w:val="24"/>
                <w:lang w:val="en-US" w:eastAsia="ru-RU"/>
              </w:rPr>
              <w:t>&lt; 20</w:t>
            </w:r>
            <w:proofErr w:type="gramEnd"/>
            <w:r w:rsidRPr="004557E8">
              <w:rPr>
                <w:sz w:val="24"/>
                <w:szCs w:val="24"/>
                <w:lang w:val="en-US" w:eastAsia="ru-RU"/>
              </w:rPr>
              <w:t xml:space="preserve"> </w:t>
            </w:r>
            <w:r w:rsidRPr="004557E8">
              <w:rPr>
                <w:bCs/>
                <w:sz w:val="24"/>
                <w:szCs w:val="24"/>
                <w:lang w:eastAsia="ru-RU"/>
              </w:rPr>
              <w:t>МЕ/мл</w:t>
            </w:r>
          </w:p>
        </w:tc>
        <w:tc>
          <w:tcPr>
            <w:tcW w:w="1985" w:type="dxa"/>
            <w:vAlign w:val="center"/>
          </w:tcPr>
          <w:p w14:paraId="3BEBF138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31/31 (100.0%)</w:t>
            </w:r>
          </w:p>
        </w:tc>
        <w:tc>
          <w:tcPr>
            <w:tcW w:w="1978" w:type="dxa"/>
            <w:vAlign w:val="center"/>
          </w:tcPr>
          <w:p w14:paraId="6591CBEE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24/31 (77.4%)</w:t>
            </w:r>
          </w:p>
        </w:tc>
      </w:tr>
      <w:tr w:rsidR="00DB5C6E" w:rsidRPr="004557E8" w14:paraId="537C3094" w14:textId="77777777" w:rsidTr="006573DC">
        <w:tc>
          <w:tcPr>
            <w:tcW w:w="5098" w:type="dxa"/>
          </w:tcPr>
          <w:p w14:paraId="0A1FEAB0" w14:textId="77777777" w:rsidR="00DB5C6E" w:rsidRPr="004557E8" w:rsidRDefault="00DB5C6E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4557E8">
              <w:rPr>
                <w:b/>
                <w:sz w:val="24"/>
                <w:szCs w:val="24"/>
                <w:lang w:eastAsia="ru-RU"/>
              </w:rPr>
              <w:t>АЛТ</w:t>
            </w:r>
            <w:r w:rsidRPr="004557E8">
              <w:rPr>
                <w:b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1985" w:type="dxa"/>
            <w:vAlign w:val="center"/>
          </w:tcPr>
          <w:p w14:paraId="057B0D8D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5CC382C2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B5C6E" w:rsidRPr="004557E8" w14:paraId="52CD6F61" w14:textId="77777777" w:rsidTr="006573DC">
        <w:tc>
          <w:tcPr>
            <w:tcW w:w="5098" w:type="dxa"/>
          </w:tcPr>
          <w:p w14:paraId="5E609161" w14:textId="77777777" w:rsidR="00DB5C6E" w:rsidRPr="004557E8" w:rsidRDefault="00DB5C6E" w:rsidP="00DB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Нормальный АЛТ (центральная лаборатория)</w:t>
            </w:r>
          </w:p>
        </w:tc>
        <w:tc>
          <w:tcPr>
            <w:tcW w:w="1985" w:type="dxa"/>
            <w:vAlign w:val="center"/>
          </w:tcPr>
          <w:p w14:paraId="39B61A7E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26/31 (83.9%)</w:t>
            </w:r>
          </w:p>
        </w:tc>
        <w:tc>
          <w:tcPr>
            <w:tcW w:w="1978" w:type="dxa"/>
            <w:vAlign w:val="center"/>
          </w:tcPr>
          <w:p w14:paraId="1A232EF7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22/31 (71.0%)</w:t>
            </w:r>
          </w:p>
        </w:tc>
      </w:tr>
      <w:tr w:rsidR="00DB5C6E" w:rsidRPr="004557E8" w14:paraId="44588F5C" w14:textId="77777777" w:rsidTr="006573DC">
        <w:tc>
          <w:tcPr>
            <w:tcW w:w="5098" w:type="dxa"/>
          </w:tcPr>
          <w:p w14:paraId="2E36B82D" w14:textId="77777777" w:rsidR="00DB5C6E" w:rsidRPr="004557E8" w:rsidRDefault="00DB5C6E" w:rsidP="00DB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Нормальный АЛТ</w:t>
            </w:r>
          </w:p>
          <w:p w14:paraId="04446B52" w14:textId="77777777" w:rsidR="00DB5C6E" w:rsidRPr="004557E8" w:rsidRDefault="00DB5C6E" w:rsidP="00DB5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(AASLD)</w:t>
            </w:r>
            <w:r w:rsidR="006573DC"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c</w:t>
            </w:r>
          </w:p>
        </w:tc>
        <w:tc>
          <w:tcPr>
            <w:tcW w:w="1985" w:type="dxa"/>
            <w:vAlign w:val="center"/>
          </w:tcPr>
          <w:p w14:paraId="4FD5DB84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25/31 (80.6%)</w:t>
            </w:r>
          </w:p>
        </w:tc>
        <w:tc>
          <w:tcPr>
            <w:tcW w:w="1978" w:type="dxa"/>
            <w:vAlign w:val="center"/>
          </w:tcPr>
          <w:p w14:paraId="5A532FAB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18/31 (58.1%)</w:t>
            </w:r>
          </w:p>
        </w:tc>
      </w:tr>
      <w:tr w:rsidR="00DB5C6E" w:rsidRPr="004557E8" w14:paraId="0B314958" w14:textId="77777777" w:rsidTr="006573DC">
        <w:tc>
          <w:tcPr>
            <w:tcW w:w="5098" w:type="dxa"/>
          </w:tcPr>
          <w:p w14:paraId="148086E7" w14:textId="77777777" w:rsidR="00DB5C6E" w:rsidRPr="004557E8" w:rsidRDefault="00DB5C6E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 xml:space="preserve">Шкала 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CPT</w:t>
            </w:r>
            <w:r w:rsidRPr="004557E8">
              <w:rPr>
                <w:b/>
                <w:sz w:val="24"/>
                <w:szCs w:val="24"/>
                <w:lang w:eastAsia="ru-RU"/>
              </w:rPr>
              <w:t xml:space="preserve"> и M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ELD</w:t>
            </w:r>
          </w:p>
        </w:tc>
        <w:tc>
          <w:tcPr>
            <w:tcW w:w="1985" w:type="dxa"/>
            <w:vAlign w:val="center"/>
          </w:tcPr>
          <w:p w14:paraId="21C41487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7A5432E4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B5C6E" w:rsidRPr="004557E8" w14:paraId="7B1FC4AE" w14:textId="77777777" w:rsidTr="006573DC">
        <w:tc>
          <w:tcPr>
            <w:tcW w:w="5098" w:type="dxa"/>
          </w:tcPr>
          <w:p w14:paraId="7CD779D3" w14:textId="77777777" w:rsidR="00DB5C6E" w:rsidRPr="004557E8" w:rsidRDefault="00DB5C6E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Среднее изменение показателя CPT по сравнению с базовым уровнем (SD)</w:t>
            </w:r>
          </w:p>
        </w:tc>
        <w:tc>
          <w:tcPr>
            <w:tcW w:w="1985" w:type="dxa"/>
            <w:vAlign w:val="center"/>
          </w:tcPr>
          <w:p w14:paraId="71699114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 (1.1)</w:t>
            </w:r>
          </w:p>
        </w:tc>
        <w:tc>
          <w:tcPr>
            <w:tcW w:w="1978" w:type="dxa"/>
            <w:vAlign w:val="center"/>
          </w:tcPr>
          <w:p w14:paraId="79EFAF2A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 (1.2)</w:t>
            </w:r>
          </w:p>
        </w:tc>
      </w:tr>
      <w:tr w:rsidR="00DB5C6E" w:rsidRPr="004557E8" w14:paraId="1B0BBA32" w14:textId="77777777" w:rsidTr="006573DC">
        <w:tc>
          <w:tcPr>
            <w:tcW w:w="5098" w:type="dxa"/>
          </w:tcPr>
          <w:p w14:paraId="0CC9531B" w14:textId="77777777" w:rsidR="00DB5C6E" w:rsidRPr="004557E8" w:rsidRDefault="00DB5C6E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Среднее изменение показателя MELD по сравнению с базовым уровнем (SD)</w:t>
            </w:r>
          </w:p>
        </w:tc>
        <w:tc>
          <w:tcPr>
            <w:tcW w:w="1985" w:type="dxa"/>
            <w:vAlign w:val="center"/>
          </w:tcPr>
          <w:p w14:paraId="2285EB15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-0.6 (1.94)</w:t>
            </w:r>
          </w:p>
        </w:tc>
        <w:tc>
          <w:tcPr>
            <w:tcW w:w="1978" w:type="dxa"/>
            <w:vAlign w:val="center"/>
          </w:tcPr>
          <w:p w14:paraId="069847EB" w14:textId="77777777" w:rsidR="00DB5C6E" w:rsidRPr="004557E8" w:rsidRDefault="00DB5C6E" w:rsidP="006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-1.0 (1.61)</w:t>
            </w:r>
          </w:p>
        </w:tc>
      </w:tr>
    </w:tbl>
    <w:p w14:paraId="2BF2D001" w14:textId="77777777" w:rsidR="00DB5C6E" w:rsidRPr="004557E8" w:rsidRDefault="00DB5C6E" w:rsidP="00DB5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CPT =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Теркотт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Чайлд-Пью;</w:t>
      </w:r>
    </w:p>
    <w:p w14:paraId="1D2286EA" w14:textId="77777777" w:rsidR="00DB5C6E" w:rsidRPr="004557E8" w:rsidRDefault="00DB5C6E" w:rsidP="00DB5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>MELD = Модель терминальной стадии заболевания печени</w:t>
      </w:r>
    </w:p>
    <w:p w14:paraId="509E7C99" w14:textId="77777777" w:rsidR="00DB5C6E" w:rsidRPr="004557E8" w:rsidRDefault="006573DC" w:rsidP="00DB5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a</w:t>
      </w:r>
      <w:r w:rsidR="00DB5C6E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. Отсутствует = </w:t>
      </w:r>
      <w:r w:rsidRPr="004557E8">
        <w:rPr>
          <w:rFonts w:ascii="Times New Roman" w:hAnsi="Times New Roman"/>
          <w:sz w:val="20"/>
          <w:szCs w:val="20"/>
          <w:lang w:bidi="ru-RU"/>
        </w:rPr>
        <w:t>сбой анализов</w:t>
      </w:r>
    </w:p>
    <w:p w14:paraId="6B1EDF42" w14:textId="77777777" w:rsidR="00DB5C6E" w:rsidRPr="004557E8" w:rsidRDefault="006573DC" w:rsidP="00DB5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b</w:t>
      </w:r>
      <w:r w:rsidR="00DB5C6E" w:rsidRPr="004557E8">
        <w:rPr>
          <w:rFonts w:ascii="Times New Roman" w:hAnsi="Times New Roman"/>
          <w:bCs/>
          <w:sz w:val="20"/>
          <w:szCs w:val="20"/>
          <w:lang w:eastAsia="ru-RU"/>
        </w:rPr>
        <w:t>. Знаменатель включает 6 пациентов, которые преждевременно прекратили прием исследуемого препарата.</w:t>
      </w:r>
    </w:p>
    <w:p w14:paraId="1A67D37A" w14:textId="77777777" w:rsidR="00DB5C6E" w:rsidRPr="004557E8" w:rsidRDefault="006573DC" w:rsidP="00DB5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c</w:t>
      </w:r>
      <w:r w:rsidR="00DB5C6E" w:rsidRPr="004557E8">
        <w:rPr>
          <w:rFonts w:ascii="Times New Roman" w:hAnsi="Times New Roman"/>
          <w:bCs/>
          <w:sz w:val="20"/>
          <w:szCs w:val="20"/>
          <w:lang w:eastAsia="ru-RU"/>
        </w:rPr>
        <w:t>. Критерии Американской ассоциации изучения заболеваний печени (AASLD), 2018 г.</w:t>
      </w:r>
    </w:p>
    <w:p w14:paraId="1C28A366" w14:textId="77777777" w:rsidR="00DB5C6E" w:rsidRPr="004557E8" w:rsidRDefault="00DB5C6E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E113CBF" w14:textId="77777777" w:rsidR="00BD3EA9" w:rsidRPr="004557E8" w:rsidRDefault="00BD3EA9" w:rsidP="00BD3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i/>
          <w:iCs/>
          <w:sz w:val="24"/>
          <w:szCs w:val="24"/>
          <w:lang w:eastAsia="ru-RU"/>
        </w:rPr>
        <w:t>Изменения в лабораторных тестах на липиды в исследовании 4035</w:t>
      </w:r>
    </w:p>
    <w:p w14:paraId="56544A2C" w14:textId="77777777" w:rsidR="00BD3EA9" w:rsidRPr="004557E8" w:rsidRDefault="00BD3EA9" w:rsidP="00BD3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Небольшое среднее увеличение общего холестерина, холестерина ЛПВП, холестерина ЛПНП, триглицеридов и соотношения общего холестерина к ЛПВП у пациентов с почечной или печеночной недостаточностью от исходного уровня к 24-й и 96-й неделям согласуется с результатами, полученными в других исследованиях, связанных с переходом на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="00974688"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(см. раздел 5.1 об исследованиях </w:t>
      </w:r>
      <w:r w:rsidRPr="004557E8">
        <w:rPr>
          <w:rFonts w:ascii="Times New Roman" w:hAnsi="Times New Roman"/>
          <w:bCs/>
          <w:i/>
          <w:iCs/>
          <w:sz w:val="24"/>
          <w:szCs w:val="24"/>
          <w:lang w:eastAsia="ru-RU"/>
        </w:rPr>
        <w:t>108, 110 и 4018</w:t>
      </w:r>
      <w:r w:rsidRPr="004557E8">
        <w:rPr>
          <w:rFonts w:ascii="Times New Roman" w:hAnsi="Times New Roman"/>
          <w:bCs/>
          <w:sz w:val="24"/>
          <w:szCs w:val="24"/>
          <w:lang w:eastAsia="ru-RU"/>
        </w:rPr>
        <w:t>), в то время как у пациентов с ТПН, находящихся на гемодиализе, на 24-й и 96-й неделе наблюдалось снижение по сравнению с исходным уровнем общего холестерина, холестерина ЛПНП, триглицеридов и соотношения общего холестерина к ЛПВП.</w:t>
      </w:r>
    </w:p>
    <w:p w14:paraId="7AAE4B34" w14:textId="77777777" w:rsidR="00111B12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Педиатрическая популяция</w:t>
      </w:r>
    </w:p>
    <w:p w14:paraId="0B880633" w14:textId="77777777" w:rsidR="00BD3EA9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В исследовании 1092 эффективность и безопасность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оценивались в рандомизированном двойном слепом плацебо-контролируемом клиническом исследовании с участием пациентов, не получавших лечение, и пациентов, получавших лечение ранее, инфицированных ВГВ в возрасте от 12 до &lt; 18 лет и весом ≥ 35 кг (Когорта 1; N=47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, N=23 плацебо) и от 6 до &lt; 12 лет с массой тела ≥ 25 кг (когорта 2, группа 1; N=12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тенофовир-алафенамид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, N=6 плацебо). Пациенты были рандомизированы для получения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или плацебо один раз в день. Исходные демографические данные и характеристики заболевания ВГВ были сопоставимы в обеих группах, получавших лечение; 58% были мужчинами, 66% - азиатами и 25% - </w:t>
      </w:r>
      <w:r w:rsidR="00407DD8" w:rsidRPr="004557E8">
        <w:rPr>
          <w:rFonts w:ascii="Times New Roman" w:hAnsi="Times New Roman"/>
          <w:sz w:val="24"/>
          <w:szCs w:val="24"/>
          <w:lang w:val="kk-KZ" w:bidi="ru-RU"/>
        </w:rPr>
        <w:t>европиодной расы</w:t>
      </w: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; 7%, 23%, 24%, и 44% имели генотипы ВГВ A, B, C и D соответственно. В целом, 99% пациентов были положительными на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>. На исходном этапе средний уровень ДНК ВГВ составлял 8,1</w:t>
      </w:r>
      <w:r w:rsidR="00F845F5"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557E8">
        <w:rPr>
          <w:rFonts w:ascii="Times New Roman" w:hAnsi="Times New Roman"/>
          <w:bCs/>
          <w:sz w:val="24"/>
          <w:szCs w:val="24"/>
          <w:lang w:eastAsia="ru-RU"/>
        </w:rPr>
        <w:t>log</w:t>
      </w:r>
      <w:r w:rsidRPr="004557E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>10</w:t>
      </w: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МЕ/мл, средний уровень АЛТ - 107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Ед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/л, средний уровень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HBsAg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- 4,5 log</w:t>
      </w:r>
      <w:r w:rsidRPr="004557E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>10</w:t>
      </w: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МЕ/мл. Предыдущее лечение включало пероральные противовирусные препараты (23%), включая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энтекавир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(N=10),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ламивудин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(N=12) 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дизопроксил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(N=3), и/или интерфероны (15%). После получения двойного слепого лечения в течение 24 недель (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или плацебо) пациенты без перерыва в лечении перешли на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в открытой форме.</w:t>
      </w:r>
    </w:p>
    <w:p w14:paraId="7C629330" w14:textId="77777777" w:rsidR="00111B12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Основной конечной точкой эффективности была доля пациентов с уровнем ДНК ВГВ в плазме крови </w:t>
      </w:r>
      <w:proofErr w:type="gram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&lt; 20</w:t>
      </w:r>
      <w:proofErr w:type="gram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МЕ/мл на 24-й неделе. Дополнительные конечные показатели эффективности включали изменение по сравнению с исходным уровнем ДНК ВГВ и АЛТ, нормализацию АЛТ, снижение уровня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HBeAg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сероконверсию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, а также снижение уровня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HBsAg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сероконверсию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6CB58F45" w14:textId="77777777" w:rsidR="005B1712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Результаты лечения в исследовании 1092 на 24-й и 48-й неделях представлены в таблицах 12 и 13.</w:t>
      </w:r>
    </w:p>
    <w:p w14:paraId="0C464D92" w14:textId="77777777" w:rsidR="00111B12" w:rsidRPr="004557E8" w:rsidRDefault="00111B12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Таблица 12: Показатели эффективности для педиатрических пациентов на 24-й неделе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19"/>
        <w:gridCol w:w="1250"/>
        <w:gridCol w:w="1446"/>
        <w:gridCol w:w="926"/>
        <w:gridCol w:w="1111"/>
        <w:gridCol w:w="1459"/>
        <w:gridCol w:w="926"/>
      </w:tblGrid>
      <w:tr w:rsidR="00111B12" w:rsidRPr="004557E8" w14:paraId="77AA16D5" w14:textId="77777777" w:rsidTr="003C4281">
        <w:tc>
          <w:tcPr>
            <w:tcW w:w="2119" w:type="dxa"/>
            <w:vAlign w:val="center"/>
          </w:tcPr>
          <w:p w14:paraId="001A8521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gridSpan w:val="3"/>
            <w:vAlign w:val="center"/>
          </w:tcPr>
          <w:p w14:paraId="1471E11D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ТАФ</w:t>
            </w:r>
          </w:p>
        </w:tc>
        <w:tc>
          <w:tcPr>
            <w:tcW w:w="0" w:type="auto"/>
            <w:gridSpan w:val="3"/>
            <w:vAlign w:val="center"/>
          </w:tcPr>
          <w:p w14:paraId="6FD5C9C2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Плацебо</w:t>
            </w:r>
          </w:p>
        </w:tc>
      </w:tr>
      <w:tr w:rsidR="003C4281" w:rsidRPr="004557E8" w14:paraId="0CD2FAE0" w14:textId="77777777" w:rsidTr="003C4281">
        <w:tc>
          <w:tcPr>
            <w:tcW w:w="2119" w:type="dxa"/>
            <w:vAlign w:val="center"/>
          </w:tcPr>
          <w:p w14:paraId="533AE96E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Align w:val="center"/>
          </w:tcPr>
          <w:p w14:paraId="161A0B23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1</w:t>
            </w:r>
          </w:p>
          <w:p w14:paraId="0029FFF5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N=47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vAlign w:val="center"/>
          </w:tcPr>
          <w:p w14:paraId="664CFCFE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2</w:t>
            </w:r>
          </w:p>
          <w:p w14:paraId="329295CF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Группа 1</w:t>
            </w:r>
          </w:p>
          <w:p w14:paraId="3C89FFE4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N=12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0" w:type="dxa"/>
            <w:vAlign w:val="center"/>
          </w:tcPr>
          <w:p w14:paraId="152A9191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Итого</w:t>
            </w:r>
          </w:p>
          <w:p w14:paraId="1D1F22F2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N=59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1" w:type="dxa"/>
            <w:vAlign w:val="center"/>
          </w:tcPr>
          <w:p w14:paraId="4E8C6B64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1</w:t>
            </w:r>
          </w:p>
          <w:p w14:paraId="7C00AE1F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N=23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9" w:type="dxa"/>
            <w:vAlign w:val="center"/>
          </w:tcPr>
          <w:p w14:paraId="4124D073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2</w:t>
            </w:r>
          </w:p>
          <w:p w14:paraId="3C5DA8EA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Группа 1</w:t>
            </w:r>
          </w:p>
          <w:p w14:paraId="7025EA61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N=6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6" w:type="dxa"/>
            <w:vAlign w:val="center"/>
          </w:tcPr>
          <w:p w14:paraId="799D6F1D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Итого</w:t>
            </w:r>
          </w:p>
          <w:p w14:paraId="27BCB0AF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N=29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11B12" w:rsidRPr="004557E8" w14:paraId="33C25591" w14:textId="77777777" w:rsidTr="003C4281">
        <w:tc>
          <w:tcPr>
            <w:tcW w:w="0" w:type="auto"/>
            <w:gridSpan w:val="7"/>
            <w:vAlign w:val="center"/>
          </w:tcPr>
          <w:p w14:paraId="14EF19ED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ДНК ВГВ</w:t>
            </w:r>
          </w:p>
        </w:tc>
      </w:tr>
      <w:tr w:rsidR="003C4281" w:rsidRPr="004557E8" w14:paraId="437FAC9D" w14:textId="77777777" w:rsidTr="003C4281">
        <w:tc>
          <w:tcPr>
            <w:tcW w:w="2119" w:type="dxa"/>
            <w:vAlign w:val="center"/>
          </w:tcPr>
          <w:p w14:paraId="4159658E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ВГВ ДНК &lt;20 МЕ/</w:t>
            </w: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мл</w:t>
            </w:r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1250" w:type="dxa"/>
            <w:vAlign w:val="center"/>
          </w:tcPr>
          <w:p w14:paraId="1D99D62C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10/47 (21%)</w:t>
            </w:r>
          </w:p>
        </w:tc>
        <w:tc>
          <w:tcPr>
            <w:tcW w:w="1446" w:type="dxa"/>
            <w:vAlign w:val="center"/>
          </w:tcPr>
          <w:p w14:paraId="31BA2ACE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1/12 (8%)</w:t>
            </w:r>
          </w:p>
        </w:tc>
        <w:tc>
          <w:tcPr>
            <w:tcW w:w="750" w:type="dxa"/>
            <w:vAlign w:val="center"/>
          </w:tcPr>
          <w:p w14:paraId="4E08EBFD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11/59 (19%)</w:t>
            </w:r>
          </w:p>
        </w:tc>
        <w:tc>
          <w:tcPr>
            <w:tcW w:w="1111" w:type="dxa"/>
            <w:vAlign w:val="center"/>
          </w:tcPr>
          <w:p w14:paraId="475229DE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0/23 (0%)</w:t>
            </w:r>
          </w:p>
        </w:tc>
        <w:tc>
          <w:tcPr>
            <w:tcW w:w="1459" w:type="dxa"/>
            <w:vAlign w:val="center"/>
          </w:tcPr>
          <w:p w14:paraId="361D0523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0/6 (0%)</w:t>
            </w:r>
          </w:p>
        </w:tc>
        <w:tc>
          <w:tcPr>
            <w:tcW w:w="926" w:type="dxa"/>
            <w:vAlign w:val="center"/>
          </w:tcPr>
          <w:p w14:paraId="125AE13D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0/29 (0%)</w:t>
            </w:r>
          </w:p>
        </w:tc>
      </w:tr>
      <w:tr w:rsidR="003C4281" w:rsidRPr="004557E8" w14:paraId="647DE61C" w14:textId="77777777" w:rsidTr="003C4281">
        <w:tc>
          <w:tcPr>
            <w:tcW w:w="2119" w:type="dxa"/>
            <w:vAlign w:val="center"/>
          </w:tcPr>
          <w:p w14:paraId="140DD981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Среднее (SD) изменение ДНК HBV по сравнению с исходным уровнем (log</w:t>
            </w:r>
            <w:r w:rsidRPr="004557E8">
              <w:rPr>
                <w:bCs/>
                <w:sz w:val="24"/>
                <w:szCs w:val="24"/>
                <w:vertAlign w:val="subscript"/>
                <w:lang w:eastAsia="ru-RU"/>
              </w:rPr>
              <w:t>10</w:t>
            </w:r>
            <w:r w:rsidRPr="004557E8">
              <w:rPr>
                <w:bCs/>
                <w:sz w:val="24"/>
                <w:szCs w:val="24"/>
                <w:lang w:eastAsia="ru-RU"/>
              </w:rPr>
              <w:t xml:space="preserve"> МЕ/мл)</w:t>
            </w:r>
          </w:p>
        </w:tc>
        <w:tc>
          <w:tcPr>
            <w:tcW w:w="1250" w:type="dxa"/>
            <w:vAlign w:val="center"/>
          </w:tcPr>
          <w:p w14:paraId="725DF4DD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-5.04 (1.544)</w:t>
            </w:r>
          </w:p>
        </w:tc>
        <w:tc>
          <w:tcPr>
            <w:tcW w:w="1446" w:type="dxa"/>
            <w:vAlign w:val="center"/>
          </w:tcPr>
          <w:p w14:paraId="1987BBAC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-4.76 (1.466)</w:t>
            </w:r>
          </w:p>
        </w:tc>
        <w:tc>
          <w:tcPr>
            <w:tcW w:w="750" w:type="dxa"/>
            <w:vAlign w:val="center"/>
          </w:tcPr>
          <w:p w14:paraId="073772DB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-4.98 (1.520)</w:t>
            </w:r>
          </w:p>
        </w:tc>
        <w:tc>
          <w:tcPr>
            <w:tcW w:w="1111" w:type="dxa"/>
            <w:vAlign w:val="center"/>
          </w:tcPr>
          <w:p w14:paraId="753DE5F7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-0.13 (0.689)</w:t>
            </w:r>
          </w:p>
        </w:tc>
        <w:tc>
          <w:tcPr>
            <w:tcW w:w="1459" w:type="dxa"/>
            <w:vAlign w:val="center"/>
          </w:tcPr>
          <w:p w14:paraId="62AC2D97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0.00 (0.346)</w:t>
            </w:r>
          </w:p>
        </w:tc>
        <w:tc>
          <w:tcPr>
            <w:tcW w:w="926" w:type="dxa"/>
            <w:vAlign w:val="center"/>
          </w:tcPr>
          <w:p w14:paraId="025DD340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-0.10 (0.636)</w:t>
            </w:r>
          </w:p>
        </w:tc>
      </w:tr>
      <w:tr w:rsidR="00111B12" w:rsidRPr="004557E8" w14:paraId="6F51A3DC" w14:textId="77777777" w:rsidTr="003C4281">
        <w:tc>
          <w:tcPr>
            <w:tcW w:w="0" w:type="auto"/>
            <w:gridSpan w:val="7"/>
            <w:vAlign w:val="center"/>
          </w:tcPr>
          <w:p w14:paraId="4CF1B24A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АЛТ</w:t>
            </w:r>
          </w:p>
        </w:tc>
      </w:tr>
      <w:tr w:rsidR="003C4281" w:rsidRPr="004557E8" w14:paraId="299DE13B" w14:textId="77777777" w:rsidTr="003C4281">
        <w:tc>
          <w:tcPr>
            <w:tcW w:w="2119" w:type="dxa"/>
            <w:vAlign w:val="center"/>
          </w:tcPr>
          <w:p w14:paraId="2A082D1A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Среднее (Q1, Q3) изменение уровня АЛТ по сравнению с исходным уровнем (</w:t>
            </w: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4557E8">
              <w:rPr>
                <w:bCs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250" w:type="dxa"/>
            <w:vAlign w:val="center"/>
          </w:tcPr>
          <w:p w14:paraId="16B713CB" w14:textId="77777777" w:rsidR="003C4281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-32.0</w:t>
            </w:r>
          </w:p>
          <w:p w14:paraId="087F01F4" w14:textId="77777777" w:rsidR="003C4281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(-63.0,</w:t>
            </w:r>
          </w:p>
          <w:p w14:paraId="0B7AB1C1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-13.0)</w:t>
            </w:r>
          </w:p>
        </w:tc>
        <w:tc>
          <w:tcPr>
            <w:tcW w:w="1446" w:type="dxa"/>
            <w:vAlign w:val="center"/>
          </w:tcPr>
          <w:p w14:paraId="7D01F0DB" w14:textId="77777777" w:rsidR="003C4281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-29.0</w:t>
            </w:r>
          </w:p>
          <w:p w14:paraId="4E820728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(-81.0, -5.5)</w:t>
            </w:r>
          </w:p>
        </w:tc>
        <w:tc>
          <w:tcPr>
            <w:tcW w:w="750" w:type="dxa"/>
            <w:vAlign w:val="center"/>
          </w:tcPr>
          <w:p w14:paraId="6D595E46" w14:textId="77777777" w:rsidR="003C4281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-32.0</w:t>
            </w:r>
          </w:p>
          <w:p w14:paraId="18828DFB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(-65.0, -7.0)</w:t>
            </w:r>
          </w:p>
        </w:tc>
        <w:tc>
          <w:tcPr>
            <w:tcW w:w="1111" w:type="dxa"/>
            <w:vAlign w:val="center"/>
          </w:tcPr>
          <w:p w14:paraId="638D950C" w14:textId="77777777" w:rsidR="003C4281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1.0</w:t>
            </w:r>
          </w:p>
          <w:p w14:paraId="499BD669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(-10.0, 25.0)</w:t>
            </w:r>
          </w:p>
        </w:tc>
        <w:tc>
          <w:tcPr>
            <w:tcW w:w="1459" w:type="dxa"/>
            <w:vAlign w:val="center"/>
          </w:tcPr>
          <w:p w14:paraId="7A7D46F1" w14:textId="77777777" w:rsidR="003C4281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-12.0</w:t>
            </w:r>
          </w:p>
          <w:p w14:paraId="331792B9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(-22.0, -2.0)</w:t>
            </w:r>
          </w:p>
        </w:tc>
        <w:tc>
          <w:tcPr>
            <w:tcW w:w="926" w:type="dxa"/>
            <w:vAlign w:val="center"/>
          </w:tcPr>
          <w:p w14:paraId="2A6490C2" w14:textId="77777777" w:rsidR="00074B61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-2.5</w:t>
            </w:r>
          </w:p>
          <w:p w14:paraId="6F123C3D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(-15.0, 22.0)</w:t>
            </w:r>
          </w:p>
        </w:tc>
      </w:tr>
      <w:tr w:rsidR="003C4281" w:rsidRPr="004557E8" w14:paraId="4244C0AD" w14:textId="77777777" w:rsidTr="003C4281">
        <w:tc>
          <w:tcPr>
            <w:tcW w:w="2119" w:type="dxa"/>
            <w:vAlign w:val="center"/>
          </w:tcPr>
          <w:p w14:paraId="28D64BA8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Нормализованный АЛТ (центральная </w:t>
            </w:r>
            <w:proofErr w:type="gramStart"/>
            <w:r w:rsidRPr="004557E8">
              <w:rPr>
                <w:bCs/>
                <w:sz w:val="24"/>
                <w:szCs w:val="24"/>
                <w:lang w:eastAsia="ru-RU"/>
              </w:rPr>
              <w:t>лаборатория)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a</w:t>
            </w:r>
            <w:proofErr w:type="gramEnd"/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,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</w:tc>
        <w:tc>
          <w:tcPr>
            <w:tcW w:w="1250" w:type="dxa"/>
            <w:vAlign w:val="center"/>
          </w:tcPr>
          <w:p w14:paraId="402140DA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28/42 (67%)</w:t>
            </w:r>
          </w:p>
        </w:tc>
        <w:tc>
          <w:tcPr>
            <w:tcW w:w="1446" w:type="dxa"/>
            <w:vAlign w:val="center"/>
          </w:tcPr>
          <w:p w14:paraId="56C1B659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7/10 (70%)</w:t>
            </w:r>
          </w:p>
        </w:tc>
        <w:tc>
          <w:tcPr>
            <w:tcW w:w="750" w:type="dxa"/>
            <w:vAlign w:val="center"/>
          </w:tcPr>
          <w:p w14:paraId="607D554A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35/52 (67%)</w:t>
            </w:r>
          </w:p>
        </w:tc>
        <w:tc>
          <w:tcPr>
            <w:tcW w:w="1111" w:type="dxa"/>
            <w:vAlign w:val="center"/>
          </w:tcPr>
          <w:p w14:paraId="433DD35F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1/21 (5%)</w:t>
            </w:r>
          </w:p>
        </w:tc>
        <w:tc>
          <w:tcPr>
            <w:tcW w:w="1459" w:type="dxa"/>
            <w:vAlign w:val="center"/>
          </w:tcPr>
          <w:p w14:paraId="35E2B509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0/6</w:t>
            </w:r>
          </w:p>
        </w:tc>
        <w:tc>
          <w:tcPr>
            <w:tcW w:w="926" w:type="dxa"/>
            <w:vAlign w:val="center"/>
          </w:tcPr>
          <w:p w14:paraId="5547E5B9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1/27 (4%)</w:t>
            </w:r>
          </w:p>
        </w:tc>
      </w:tr>
      <w:tr w:rsidR="003C4281" w:rsidRPr="004557E8" w14:paraId="3F3BEBE1" w14:textId="77777777" w:rsidTr="003C4281">
        <w:tc>
          <w:tcPr>
            <w:tcW w:w="2119" w:type="dxa"/>
            <w:vAlign w:val="center"/>
          </w:tcPr>
          <w:p w14:paraId="62A077D9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Нормализованный АЛТ</w:t>
            </w:r>
            <w:r w:rsidRPr="004557E8">
              <w:t xml:space="preserve"> </w:t>
            </w:r>
            <w:r w:rsidRPr="004557E8">
              <w:rPr>
                <w:bCs/>
                <w:sz w:val="24"/>
                <w:szCs w:val="24"/>
                <w:lang w:eastAsia="ru-RU"/>
              </w:rPr>
              <w:t>(AASLD)</w:t>
            </w:r>
            <w:proofErr w:type="spellStart"/>
            <w:proofErr w:type="gramStart"/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a,c</w:t>
            </w:r>
            <w:proofErr w:type="gramEnd"/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,d</w:t>
            </w:r>
            <w:proofErr w:type="spellEnd"/>
          </w:p>
        </w:tc>
        <w:tc>
          <w:tcPr>
            <w:tcW w:w="1250" w:type="dxa"/>
            <w:vAlign w:val="center"/>
          </w:tcPr>
          <w:p w14:paraId="4122B937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20/46 (44%)</w:t>
            </w:r>
          </w:p>
        </w:tc>
        <w:tc>
          <w:tcPr>
            <w:tcW w:w="1446" w:type="dxa"/>
            <w:vAlign w:val="center"/>
          </w:tcPr>
          <w:p w14:paraId="6C2856B5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5/10 (50%)</w:t>
            </w:r>
          </w:p>
        </w:tc>
        <w:tc>
          <w:tcPr>
            <w:tcW w:w="750" w:type="dxa"/>
            <w:vAlign w:val="center"/>
          </w:tcPr>
          <w:p w14:paraId="629354E3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25/56</w:t>
            </w:r>
          </w:p>
          <w:p w14:paraId="492C8179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(45%)</w:t>
            </w:r>
          </w:p>
        </w:tc>
        <w:tc>
          <w:tcPr>
            <w:tcW w:w="1111" w:type="dxa"/>
            <w:vAlign w:val="center"/>
          </w:tcPr>
          <w:p w14:paraId="4B6FE635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0/22</w:t>
            </w:r>
          </w:p>
        </w:tc>
        <w:tc>
          <w:tcPr>
            <w:tcW w:w="1459" w:type="dxa"/>
            <w:vAlign w:val="center"/>
          </w:tcPr>
          <w:p w14:paraId="1EDF64A2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0/6</w:t>
            </w:r>
          </w:p>
        </w:tc>
        <w:tc>
          <w:tcPr>
            <w:tcW w:w="926" w:type="dxa"/>
            <w:vAlign w:val="center"/>
          </w:tcPr>
          <w:p w14:paraId="7B246B79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0/28 (0%)</w:t>
            </w:r>
          </w:p>
        </w:tc>
      </w:tr>
      <w:tr w:rsidR="00111B12" w:rsidRPr="004557E8" w14:paraId="1D4921FD" w14:textId="77777777" w:rsidTr="003C4281">
        <w:tc>
          <w:tcPr>
            <w:tcW w:w="0" w:type="auto"/>
            <w:gridSpan w:val="7"/>
            <w:vAlign w:val="center"/>
          </w:tcPr>
          <w:p w14:paraId="78D4F85E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Серология</w:t>
            </w:r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е</w:t>
            </w:r>
            <w:proofErr w:type="spellEnd"/>
          </w:p>
        </w:tc>
      </w:tr>
      <w:tr w:rsidR="003C4281" w:rsidRPr="004557E8" w14:paraId="7DBBD7F8" w14:textId="77777777" w:rsidTr="003C4281">
        <w:tc>
          <w:tcPr>
            <w:tcW w:w="2119" w:type="dxa"/>
            <w:vAlign w:val="center"/>
          </w:tcPr>
          <w:p w14:paraId="19A9B9DC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Потеря </w:t>
            </w: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HBeAg</w:t>
            </w:r>
            <w:proofErr w:type="spellEnd"/>
            <w:r w:rsidRPr="004557E8">
              <w:rPr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сероконверсия</w:t>
            </w:r>
            <w:proofErr w:type="spellEnd"/>
            <w:proofErr w:type="gramStart"/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a</w:t>
            </w:r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,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f</w:t>
            </w:r>
            <w:proofErr w:type="gramEnd"/>
          </w:p>
        </w:tc>
        <w:tc>
          <w:tcPr>
            <w:tcW w:w="1250" w:type="dxa"/>
            <w:vAlign w:val="center"/>
          </w:tcPr>
          <w:p w14:paraId="1F4BE352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3/46 (7%)</w:t>
            </w:r>
          </w:p>
        </w:tc>
        <w:tc>
          <w:tcPr>
            <w:tcW w:w="1446" w:type="dxa"/>
            <w:vAlign w:val="center"/>
          </w:tcPr>
          <w:p w14:paraId="3D5C95AF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1/12 (8%)</w:t>
            </w:r>
          </w:p>
        </w:tc>
        <w:tc>
          <w:tcPr>
            <w:tcW w:w="750" w:type="dxa"/>
            <w:vAlign w:val="center"/>
          </w:tcPr>
          <w:p w14:paraId="23E72CB3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4/58 (7%)</w:t>
            </w:r>
          </w:p>
        </w:tc>
        <w:tc>
          <w:tcPr>
            <w:tcW w:w="1111" w:type="dxa"/>
            <w:vAlign w:val="center"/>
          </w:tcPr>
          <w:p w14:paraId="76AA857F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1/23 (4%)</w:t>
            </w:r>
          </w:p>
        </w:tc>
        <w:tc>
          <w:tcPr>
            <w:tcW w:w="1459" w:type="dxa"/>
            <w:vAlign w:val="center"/>
          </w:tcPr>
          <w:p w14:paraId="06D05B5E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0/6 (0%)</w:t>
            </w:r>
          </w:p>
        </w:tc>
        <w:tc>
          <w:tcPr>
            <w:tcW w:w="926" w:type="dxa"/>
            <w:vAlign w:val="center"/>
          </w:tcPr>
          <w:p w14:paraId="024DCCF1" w14:textId="77777777" w:rsidR="00111B12" w:rsidRPr="004557E8" w:rsidRDefault="00111B12" w:rsidP="003C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1/29 (3%)</w:t>
            </w:r>
          </w:p>
        </w:tc>
      </w:tr>
    </w:tbl>
    <w:p w14:paraId="2A593B8F" w14:textId="77777777" w:rsidR="00111B12" w:rsidRPr="004557E8" w:rsidRDefault="0028470F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>ТАФ</w:t>
      </w:r>
      <w:r w:rsidR="00111B12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= </w:t>
      </w:r>
      <w:proofErr w:type="spellStart"/>
      <w:r w:rsidR="00111B12" w:rsidRPr="004557E8">
        <w:rPr>
          <w:rFonts w:ascii="Times New Roman" w:hAnsi="Times New Roman"/>
          <w:bCs/>
          <w:sz w:val="20"/>
          <w:szCs w:val="20"/>
          <w:lang w:eastAsia="ru-RU"/>
        </w:rPr>
        <w:t>тенофовир</w:t>
      </w:r>
      <w:proofErr w:type="spellEnd"/>
      <w:r w:rsidR="00111B12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proofErr w:type="spellStart"/>
      <w:r w:rsidR="00111B12" w:rsidRPr="004557E8">
        <w:rPr>
          <w:rFonts w:ascii="Times New Roman" w:hAnsi="Times New Roman"/>
          <w:bCs/>
          <w:sz w:val="20"/>
          <w:szCs w:val="20"/>
          <w:lang w:eastAsia="ru-RU"/>
        </w:rPr>
        <w:t>алафенамид</w:t>
      </w:r>
      <w:proofErr w:type="spellEnd"/>
    </w:p>
    <w:p w14:paraId="3C4EAE19" w14:textId="77777777" w:rsidR="00111B12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a. Отсутствует = </w:t>
      </w:r>
      <w:r w:rsidR="006573DC" w:rsidRPr="004557E8">
        <w:rPr>
          <w:rFonts w:ascii="Times New Roman" w:hAnsi="Times New Roman"/>
          <w:sz w:val="20"/>
          <w:szCs w:val="20"/>
          <w:lang w:bidi="ru-RU"/>
        </w:rPr>
        <w:t>сбой анализов</w:t>
      </w:r>
    </w:p>
    <w:p w14:paraId="3179C40F" w14:textId="77777777" w:rsidR="00111B12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b. Популяция, использованная для анализа нормализации АЛТ, включала только пациентов с уровнем АЛТ выше ВГН в пределах центрального лабораторного диапазона на исходном этапе. </w:t>
      </w:r>
      <w:r w:rsidR="003C4281" w:rsidRPr="004557E8">
        <w:rPr>
          <w:rFonts w:ascii="Times New Roman" w:hAnsi="Times New Roman"/>
          <w:bCs/>
          <w:sz w:val="20"/>
          <w:szCs w:val="20"/>
          <w:lang w:eastAsia="ru-RU"/>
        </w:rPr>
        <w:t>Центральные лабораторные показатели АЛТ,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следующие: 34 </w:t>
      </w:r>
      <w:proofErr w:type="spellStart"/>
      <w:r w:rsidR="0028470F" w:rsidRPr="004557E8">
        <w:rPr>
          <w:rFonts w:ascii="Times New Roman" w:hAnsi="Times New Roman"/>
          <w:bCs/>
          <w:sz w:val="20"/>
          <w:szCs w:val="20"/>
          <w:lang w:eastAsia="ru-RU"/>
        </w:rPr>
        <w:t>е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>д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/л для </w:t>
      </w:r>
      <w:r w:rsidR="0028470F" w:rsidRPr="004557E8">
        <w:rPr>
          <w:rFonts w:ascii="Times New Roman" w:hAnsi="Times New Roman"/>
          <w:bCs/>
          <w:sz w:val="20"/>
          <w:szCs w:val="20"/>
          <w:lang w:eastAsia="ru-RU"/>
        </w:rPr>
        <w:t>девочек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в возрасте 2 лет и старше или </w:t>
      </w:r>
      <w:r w:rsidR="0028470F" w:rsidRPr="004557E8">
        <w:rPr>
          <w:rFonts w:ascii="Times New Roman" w:hAnsi="Times New Roman"/>
          <w:bCs/>
          <w:sz w:val="20"/>
          <w:szCs w:val="20"/>
          <w:lang w:eastAsia="ru-RU"/>
        </w:rPr>
        <w:t>мальчиков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в возрасте 1-9 лет и 43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ед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/л для </w:t>
      </w:r>
      <w:r w:rsidR="0028470F" w:rsidRPr="004557E8">
        <w:rPr>
          <w:rFonts w:ascii="Times New Roman" w:hAnsi="Times New Roman"/>
          <w:bCs/>
          <w:sz w:val="20"/>
          <w:szCs w:val="20"/>
          <w:lang w:eastAsia="ru-RU"/>
        </w:rPr>
        <w:t>мальчиков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старше 9 лет.</w:t>
      </w:r>
    </w:p>
    <w:p w14:paraId="27633829" w14:textId="77777777" w:rsidR="00111B12" w:rsidRPr="004557E8" w:rsidRDefault="0028470F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c</w:t>
      </w:r>
      <w:r w:rsidR="00111B12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. Популяция, использованная для анализа нормализации АЛТ, включала только пациентов с уровнем АЛТ выше ВГН по критериям AASLD (30 </w:t>
      </w:r>
      <w:proofErr w:type="spellStart"/>
      <w:r w:rsidR="00111B12" w:rsidRPr="004557E8">
        <w:rPr>
          <w:rFonts w:ascii="Times New Roman" w:hAnsi="Times New Roman"/>
          <w:bCs/>
          <w:sz w:val="20"/>
          <w:szCs w:val="20"/>
          <w:lang w:eastAsia="ru-RU"/>
        </w:rPr>
        <w:t>Ед</w:t>
      </w:r>
      <w:proofErr w:type="spellEnd"/>
      <w:r w:rsidR="00111B12" w:rsidRPr="004557E8">
        <w:rPr>
          <w:rFonts w:ascii="Times New Roman" w:hAnsi="Times New Roman"/>
          <w:bCs/>
          <w:sz w:val="20"/>
          <w:szCs w:val="20"/>
          <w:lang w:eastAsia="ru-RU"/>
        </w:rPr>
        <w:t>/л для мужчин и женщин в зависимости от диапазона для педиатрических участников) на исходном этапе.</w:t>
      </w:r>
    </w:p>
    <w:p w14:paraId="246E4607" w14:textId="77777777" w:rsidR="00111B12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>d. Критерии Американской ассоциации по изучению заболеваний печени (AASLD).</w:t>
      </w:r>
    </w:p>
    <w:p w14:paraId="358138CF" w14:textId="77777777" w:rsidR="00111B12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e. Ни у одного пациента в обеих группах не было снижения уровня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H</w:t>
      </w:r>
      <w:r w:rsidR="005B1712" w:rsidRPr="004557E8">
        <w:rPr>
          <w:rFonts w:ascii="Times New Roman" w:hAnsi="Times New Roman"/>
          <w:bCs/>
          <w:sz w:val="20"/>
          <w:szCs w:val="20"/>
          <w:lang w:eastAsia="ru-RU"/>
        </w:rPr>
        <w:t>b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>sAg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или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сероконверсии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на 24-й неделе.</w:t>
      </w:r>
    </w:p>
    <w:p w14:paraId="396D34DE" w14:textId="77777777" w:rsidR="00111B12" w:rsidRPr="004557E8" w:rsidRDefault="00111B12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>f. Популяция, использованная для серологического анализа, включала только пациентов с положительным уровнем антигена (H</w:t>
      </w:r>
      <w:r w:rsidR="00D90EE9" w:rsidRPr="004557E8">
        <w:rPr>
          <w:rFonts w:ascii="Times New Roman" w:hAnsi="Times New Roman"/>
          <w:bCs/>
          <w:sz w:val="20"/>
          <w:szCs w:val="20"/>
          <w:lang w:val="en-US" w:eastAsia="ru-RU"/>
        </w:rPr>
        <w:t>B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eAg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>) и отрицательным уровнем антител (H</w:t>
      </w:r>
      <w:r w:rsidR="00D90EE9" w:rsidRPr="004557E8">
        <w:rPr>
          <w:rFonts w:ascii="Times New Roman" w:hAnsi="Times New Roman"/>
          <w:bCs/>
          <w:sz w:val="20"/>
          <w:szCs w:val="20"/>
          <w:lang w:val="en-US" w:eastAsia="ru-RU"/>
        </w:rPr>
        <w:t>B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eAb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>) или их отсутствием на исходном этапе.</w:t>
      </w:r>
    </w:p>
    <w:p w14:paraId="2D91F00E" w14:textId="77777777" w:rsidR="00EA00FB" w:rsidRPr="004557E8" w:rsidRDefault="00EA00FB" w:rsidP="0011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14:paraId="52B326E5" w14:textId="77777777" w:rsidR="00111B12" w:rsidRPr="004557E8" w:rsidRDefault="00EA00FB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Таблица 13: Показатели эффективности для педиатрических пациентов на 48-й неделе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34"/>
        <w:gridCol w:w="1046"/>
        <w:gridCol w:w="1234"/>
        <w:gridCol w:w="990"/>
        <w:gridCol w:w="1089"/>
        <w:gridCol w:w="1269"/>
        <w:gridCol w:w="925"/>
      </w:tblGrid>
      <w:tr w:rsidR="00EA00FB" w:rsidRPr="004557E8" w14:paraId="230DC3BF" w14:textId="77777777" w:rsidTr="003C4281">
        <w:tc>
          <w:tcPr>
            <w:tcW w:w="0" w:type="auto"/>
          </w:tcPr>
          <w:p w14:paraId="3DE808EA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14:paraId="09AADE2A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ТАФ</w:t>
            </w:r>
          </w:p>
        </w:tc>
        <w:tc>
          <w:tcPr>
            <w:tcW w:w="0" w:type="auto"/>
            <w:gridSpan w:val="3"/>
          </w:tcPr>
          <w:p w14:paraId="7B19ACF9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Плацебо заменено на ТАФ</w:t>
            </w:r>
          </w:p>
        </w:tc>
      </w:tr>
      <w:tr w:rsidR="00EA00FB" w:rsidRPr="004557E8" w14:paraId="61CBC754" w14:textId="77777777" w:rsidTr="003C4281">
        <w:tc>
          <w:tcPr>
            <w:tcW w:w="0" w:type="auto"/>
          </w:tcPr>
          <w:p w14:paraId="621B3074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14:paraId="481EC993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Когорта 1 </w:t>
            </w:r>
          </w:p>
          <w:p w14:paraId="6027FAC5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N=47</w:t>
            </w:r>
            <w:r w:rsidRPr="004557E8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</w:tcPr>
          <w:p w14:paraId="78CC46C2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Когорта 2</w:t>
            </w:r>
          </w:p>
          <w:p w14:paraId="4FC36F98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Группа 1</w:t>
            </w:r>
          </w:p>
          <w:p w14:paraId="179D0272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N=12</w:t>
            </w:r>
            <w:r w:rsidRPr="004557E8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0" w:type="dxa"/>
          </w:tcPr>
          <w:p w14:paraId="7D739C49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Итого</w:t>
            </w:r>
          </w:p>
          <w:p w14:paraId="573FAAA8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N=59</w:t>
            </w:r>
            <w:r w:rsidRPr="004557E8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14:paraId="4082DEE6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Когорта 1</w:t>
            </w:r>
          </w:p>
          <w:p w14:paraId="77ADFEA9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N=23</w:t>
            </w:r>
            <w:r w:rsidRPr="004557E8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</w:tcPr>
          <w:p w14:paraId="690F82D1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Когорта 2</w:t>
            </w:r>
          </w:p>
          <w:p w14:paraId="131A7BA6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Группа 1</w:t>
            </w:r>
          </w:p>
          <w:p w14:paraId="7A063C1C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N=6</w:t>
            </w:r>
            <w:r w:rsidRPr="004557E8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5" w:type="dxa"/>
          </w:tcPr>
          <w:p w14:paraId="5C3CEFD6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Итого</w:t>
            </w:r>
          </w:p>
          <w:p w14:paraId="28C9D3B6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N=29</w:t>
            </w:r>
            <w:r w:rsidRPr="004557E8">
              <w:rPr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A00FB" w:rsidRPr="004557E8" w14:paraId="71E1B5B0" w14:textId="77777777" w:rsidTr="003C4281">
        <w:tc>
          <w:tcPr>
            <w:tcW w:w="0" w:type="auto"/>
            <w:gridSpan w:val="7"/>
          </w:tcPr>
          <w:p w14:paraId="61AAD607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ДНК ВГВ</w:t>
            </w:r>
          </w:p>
        </w:tc>
      </w:tr>
      <w:tr w:rsidR="00EA00FB" w:rsidRPr="004557E8" w14:paraId="2C2AA02C" w14:textId="77777777" w:rsidTr="003C4281">
        <w:tc>
          <w:tcPr>
            <w:tcW w:w="0" w:type="auto"/>
          </w:tcPr>
          <w:p w14:paraId="7B041765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ДНК ВГВ </w:t>
            </w:r>
            <w:r w:rsidRPr="004557E8">
              <w:rPr>
                <w:bCs/>
                <w:sz w:val="24"/>
                <w:szCs w:val="24"/>
                <w:lang w:val="en-US" w:eastAsia="ru-RU"/>
              </w:rPr>
              <w:t>&lt;20</w:t>
            </w:r>
            <w:r w:rsidRPr="004557E8">
              <w:rPr>
                <w:bCs/>
                <w:sz w:val="24"/>
                <w:szCs w:val="24"/>
                <w:lang w:eastAsia="ru-RU"/>
              </w:rPr>
              <w:t xml:space="preserve"> МЕ/</w:t>
            </w: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мл</w:t>
            </w:r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а</w:t>
            </w:r>
            <w:proofErr w:type="spellEnd"/>
          </w:p>
        </w:tc>
        <w:tc>
          <w:tcPr>
            <w:tcW w:w="981" w:type="dxa"/>
          </w:tcPr>
          <w:p w14:paraId="670284A3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19/47 (40%)</w:t>
            </w:r>
          </w:p>
        </w:tc>
        <w:tc>
          <w:tcPr>
            <w:tcW w:w="1234" w:type="dxa"/>
          </w:tcPr>
          <w:p w14:paraId="66A7404C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3/12 (25%)</w:t>
            </w:r>
          </w:p>
        </w:tc>
        <w:tc>
          <w:tcPr>
            <w:tcW w:w="990" w:type="dxa"/>
          </w:tcPr>
          <w:p w14:paraId="395A90B5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22/59 (37%)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3"/>
            </w:tblGrid>
            <w:tr w:rsidR="00EA00FB" w:rsidRPr="004557E8" w14:paraId="38FC4111" w14:textId="77777777">
              <w:trPr>
                <w:trHeight w:val="250"/>
              </w:trPr>
              <w:tc>
                <w:tcPr>
                  <w:tcW w:w="0" w:type="auto"/>
                </w:tcPr>
                <w:p w14:paraId="626E3536" w14:textId="77777777" w:rsidR="00EA00FB" w:rsidRPr="004557E8" w:rsidRDefault="00EA00FB" w:rsidP="00EA00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SimSu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557E8">
                    <w:rPr>
                      <w:rFonts w:ascii="Times New Roman" w:eastAsia="SimSun" w:hAnsi="Times New Roman"/>
                      <w:bCs/>
                      <w:sz w:val="24"/>
                      <w:szCs w:val="24"/>
                      <w:lang w:eastAsia="ru-RU"/>
                    </w:rPr>
                    <w:t xml:space="preserve">5/23 (22%) </w:t>
                  </w:r>
                </w:p>
              </w:tc>
            </w:tr>
          </w:tbl>
          <w:p w14:paraId="40590AF5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3306346B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1/6 (17%)</w:t>
            </w:r>
          </w:p>
        </w:tc>
        <w:tc>
          <w:tcPr>
            <w:tcW w:w="925" w:type="dxa"/>
          </w:tcPr>
          <w:p w14:paraId="1015B76E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6/29 (21%)</w:t>
            </w:r>
          </w:p>
        </w:tc>
      </w:tr>
      <w:tr w:rsidR="00EA00FB" w:rsidRPr="004557E8" w14:paraId="02801AF8" w14:textId="77777777" w:rsidTr="003C4281">
        <w:tc>
          <w:tcPr>
            <w:tcW w:w="0" w:type="auto"/>
          </w:tcPr>
          <w:p w14:paraId="7A4F8E13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Среднее (SD) изменение </w:t>
            </w: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>ДНК ВГВ по сравнению с исходным уровнем (log</w:t>
            </w:r>
            <w:r w:rsidRPr="004557E8">
              <w:rPr>
                <w:bCs/>
                <w:sz w:val="24"/>
                <w:szCs w:val="24"/>
                <w:vertAlign w:val="subscript"/>
                <w:lang w:eastAsia="ru-RU"/>
              </w:rPr>
              <w:t>10</w:t>
            </w:r>
            <w:r w:rsidRPr="004557E8">
              <w:rPr>
                <w:bCs/>
                <w:sz w:val="24"/>
                <w:szCs w:val="24"/>
                <w:lang w:eastAsia="ru-RU"/>
              </w:rPr>
              <w:t xml:space="preserve"> МЕ/мл)</w:t>
            </w:r>
          </w:p>
        </w:tc>
        <w:tc>
          <w:tcPr>
            <w:tcW w:w="981" w:type="dxa"/>
          </w:tcPr>
          <w:p w14:paraId="590A63CA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 xml:space="preserve">-5.65 </w:t>
            </w: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>(1.779)</w:t>
            </w:r>
          </w:p>
        </w:tc>
        <w:tc>
          <w:tcPr>
            <w:tcW w:w="1234" w:type="dxa"/>
          </w:tcPr>
          <w:p w14:paraId="7EA32401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 xml:space="preserve">-5.88 </w:t>
            </w: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>(0.861)</w:t>
            </w:r>
          </w:p>
        </w:tc>
        <w:tc>
          <w:tcPr>
            <w:tcW w:w="990" w:type="dxa"/>
          </w:tcPr>
          <w:p w14:paraId="53A94295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 xml:space="preserve">-5.70 </w:t>
            </w: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>(1.626)</w:t>
            </w:r>
          </w:p>
        </w:tc>
        <w:tc>
          <w:tcPr>
            <w:tcW w:w="0" w:type="auto"/>
          </w:tcPr>
          <w:p w14:paraId="1F6C30A9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 xml:space="preserve">-5.06 </w:t>
            </w: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>(1.703)</w:t>
            </w:r>
          </w:p>
        </w:tc>
        <w:tc>
          <w:tcPr>
            <w:tcW w:w="1269" w:type="dxa"/>
          </w:tcPr>
          <w:p w14:paraId="149397C4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 xml:space="preserve">-4.16 </w:t>
            </w: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>(2.445)</w:t>
            </w:r>
          </w:p>
        </w:tc>
        <w:tc>
          <w:tcPr>
            <w:tcW w:w="925" w:type="dxa"/>
          </w:tcPr>
          <w:p w14:paraId="7D3201E8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 xml:space="preserve">-4.88 </w:t>
            </w:r>
            <w:r w:rsidRPr="004557E8">
              <w:rPr>
                <w:bCs/>
                <w:sz w:val="24"/>
                <w:szCs w:val="24"/>
                <w:lang w:eastAsia="ru-RU"/>
              </w:rPr>
              <w:lastRenderedPageBreak/>
              <w:t>(1.867)</w:t>
            </w:r>
          </w:p>
        </w:tc>
      </w:tr>
      <w:tr w:rsidR="00EA00FB" w:rsidRPr="004557E8" w14:paraId="52BD66BF" w14:textId="77777777" w:rsidTr="003C4281">
        <w:tc>
          <w:tcPr>
            <w:tcW w:w="0" w:type="auto"/>
            <w:gridSpan w:val="7"/>
          </w:tcPr>
          <w:p w14:paraId="07974EF9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lastRenderedPageBreak/>
              <w:t>АЛТ</w:t>
            </w:r>
          </w:p>
        </w:tc>
      </w:tr>
      <w:tr w:rsidR="00EA00FB" w:rsidRPr="004557E8" w14:paraId="5B748392" w14:textId="77777777" w:rsidTr="003C4281">
        <w:tc>
          <w:tcPr>
            <w:tcW w:w="0" w:type="auto"/>
          </w:tcPr>
          <w:p w14:paraId="471B9860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Среднее (Q1, Q3) изменение АЛТ (</w:t>
            </w: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4557E8">
              <w:rPr>
                <w:bCs/>
                <w:sz w:val="24"/>
                <w:szCs w:val="24"/>
                <w:lang w:eastAsia="ru-RU"/>
              </w:rPr>
              <w:t>/л) по сравнению с исходным уровнем</w:t>
            </w:r>
          </w:p>
        </w:tc>
        <w:tc>
          <w:tcPr>
            <w:tcW w:w="981" w:type="dxa"/>
          </w:tcPr>
          <w:p w14:paraId="08B1741E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-38.0 </w:t>
            </w:r>
          </w:p>
          <w:p w14:paraId="1AC06331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(-70.0, </w:t>
            </w:r>
          </w:p>
          <w:p w14:paraId="61A9FC6E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-12.0)</w:t>
            </w:r>
          </w:p>
        </w:tc>
        <w:tc>
          <w:tcPr>
            <w:tcW w:w="1234" w:type="dxa"/>
          </w:tcPr>
          <w:p w14:paraId="5145F98D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-30.0 </w:t>
            </w:r>
          </w:p>
          <w:p w14:paraId="04837E27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(-82.0, </w:t>
            </w:r>
          </w:p>
          <w:p w14:paraId="438B4F2C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-2.5)</w:t>
            </w:r>
          </w:p>
        </w:tc>
        <w:tc>
          <w:tcPr>
            <w:tcW w:w="990" w:type="dxa"/>
          </w:tcPr>
          <w:p w14:paraId="52691CE1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-37.0 </w:t>
            </w:r>
          </w:p>
          <w:p w14:paraId="2585D209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(-70.0, </w:t>
            </w:r>
          </w:p>
          <w:p w14:paraId="19D76522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-8.0)</w:t>
            </w:r>
          </w:p>
        </w:tc>
        <w:tc>
          <w:tcPr>
            <w:tcW w:w="0" w:type="auto"/>
          </w:tcPr>
          <w:p w14:paraId="774F963A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-26.0 </w:t>
            </w:r>
          </w:p>
          <w:p w14:paraId="434316D9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(-55.0, </w:t>
            </w:r>
          </w:p>
          <w:p w14:paraId="7FD04C55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-9.0)</w:t>
            </w:r>
          </w:p>
        </w:tc>
        <w:tc>
          <w:tcPr>
            <w:tcW w:w="1269" w:type="dxa"/>
          </w:tcPr>
          <w:p w14:paraId="750D6059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-30.5 </w:t>
            </w:r>
          </w:p>
          <w:p w14:paraId="1D361FC2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(-53.0, </w:t>
            </w:r>
          </w:p>
          <w:p w14:paraId="406D1ED5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-12.0)</w:t>
            </w:r>
          </w:p>
        </w:tc>
        <w:tc>
          <w:tcPr>
            <w:tcW w:w="925" w:type="dxa"/>
          </w:tcPr>
          <w:p w14:paraId="3544A48D" w14:textId="77777777" w:rsidR="00FD54BE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-26 </w:t>
            </w:r>
          </w:p>
          <w:p w14:paraId="25698087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(-54.0, -12.0)</w:t>
            </w:r>
          </w:p>
        </w:tc>
      </w:tr>
      <w:tr w:rsidR="00EA00FB" w:rsidRPr="004557E8" w14:paraId="63002526" w14:textId="77777777" w:rsidTr="003C4281">
        <w:tc>
          <w:tcPr>
            <w:tcW w:w="0" w:type="auto"/>
          </w:tcPr>
          <w:p w14:paraId="1FE871A6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Нормализованный АЛТ (центральная </w:t>
            </w:r>
            <w:proofErr w:type="gramStart"/>
            <w:r w:rsidRPr="004557E8">
              <w:rPr>
                <w:bCs/>
                <w:sz w:val="24"/>
                <w:szCs w:val="24"/>
                <w:lang w:eastAsia="ru-RU"/>
              </w:rPr>
              <w:t>лаборатория)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a</w:t>
            </w:r>
            <w:proofErr w:type="gramEnd"/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,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</w:tc>
        <w:tc>
          <w:tcPr>
            <w:tcW w:w="981" w:type="dxa"/>
          </w:tcPr>
          <w:p w14:paraId="335CBF94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33/42 (79%)</w:t>
            </w:r>
          </w:p>
        </w:tc>
        <w:tc>
          <w:tcPr>
            <w:tcW w:w="1234" w:type="dxa"/>
          </w:tcPr>
          <w:p w14:paraId="082E552E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7/10 (70%)</w:t>
            </w:r>
          </w:p>
        </w:tc>
        <w:tc>
          <w:tcPr>
            <w:tcW w:w="990" w:type="dxa"/>
          </w:tcPr>
          <w:p w14:paraId="748672F7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40/52 (77%)</w:t>
            </w:r>
          </w:p>
        </w:tc>
        <w:tc>
          <w:tcPr>
            <w:tcW w:w="0" w:type="auto"/>
          </w:tcPr>
          <w:p w14:paraId="64F562D7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13/21 (62%)</w:t>
            </w:r>
          </w:p>
        </w:tc>
        <w:tc>
          <w:tcPr>
            <w:tcW w:w="1269" w:type="dxa"/>
          </w:tcPr>
          <w:p w14:paraId="34DDCEB6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4/6 (67%)</w:t>
            </w:r>
          </w:p>
        </w:tc>
        <w:tc>
          <w:tcPr>
            <w:tcW w:w="925" w:type="dxa"/>
          </w:tcPr>
          <w:p w14:paraId="3C4FF894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17/27 (63%)</w:t>
            </w:r>
          </w:p>
        </w:tc>
      </w:tr>
      <w:tr w:rsidR="00EA00FB" w:rsidRPr="004557E8" w14:paraId="0869A649" w14:textId="77777777" w:rsidTr="003C4281">
        <w:tc>
          <w:tcPr>
            <w:tcW w:w="0" w:type="auto"/>
          </w:tcPr>
          <w:p w14:paraId="179E056A" w14:textId="77777777" w:rsidR="00EA00FB" w:rsidRPr="004557E8" w:rsidRDefault="00EA00FB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Нормализованный АЛТ</w:t>
            </w:r>
            <w:r w:rsidRPr="004557E8">
              <w:t xml:space="preserve"> </w:t>
            </w:r>
            <w:r w:rsidRPr="004557E8">
              <w:rPr>
                <w:bCs/>
                <w:sz w:val="24"/>
                <w:szCs w:val="24"/>
                <w:lang w:eastAsia="ru-RU"/>
              </w:rPr>
              <w:t>(AASLD)</w:t>
            </w:r>
            <w:proofErr w:type="spellStart"/>
            <w:proofErr w:type="gramStart"/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a,c</w:t>
            </w:r>
            <w:proofErr w:type="gramEnd"/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,d</w:t>
            </w:r>
            <w:proofErr w:type="spellEnd"/>
          </w:p>
        </w:tc>
        <w:tc>
          <w:tcPr>
            <w:tcW w:w="981" w:type="dxa"/>
          </w:tcPr>
          <w:p w14:paraId="2442687C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25/46 (54%)</w:t>
            </w:r>
          </w:p>
        </w:tc>
        <w:tc>
          <w:tcPr>
            <w:tcW w:w="1234" w:type="dxa"/>
          </w:tcPr>
          <w:p w14:paraId="22AF20A2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5/10 (50%)</w:t>
            </w:r>
          </w:p>
        </w:tc>
        <w:tc>
          <w:tcPr>
            <w:tcW w:w="990" w:type="dxa"/>
          </w:tcPr>
          <w:p w14:paraId="3383BA8C" w14:textId="77777777" w:rsidR="000A103C" w:rsidRPr="004557E8" w:rsidRDefault="000A103C" w:rsidP="000A1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30/56</w:t>
            </w:r>
          </w:p>
          <w:p w14:paraId="5F986293" w14:textId="77777777" w:rsidR="00EA00FB" w:rsidRPr="004557E8" w:rsidRDefault="000A103C" w:rsidP="000A1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(54%)</w:t>
            </w:r>
          </w:p>
        </w:tc>
        <w:tc>
          <w:tcPr>
            <w:tcW w:w="0" w:type="auto"/>
          </w:tcPr>
          <w:p w14:paraId="740A99CF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9/22 (41%)</w:t>
            </w:r>
          </w:p>
        </w:tc>
        <w:tc>
          <w:tcPr>
            <w:tcW w:w="1269" w:type="dxa"/>
          </w:tcPr>
          <w:p w14:paraId="55BB966E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2/6 (33%)</w:t>
            </w:r>
          </w:p>
        </w:tc>
        <w:tc>
          <w:tcPr>
            <w:tcW w:w="925" w:type="dxa"/>
          </w:tcPr>
          <w:p w14:paraId="1886DA19" w14:textId="77777777" w:rsidR="00EA00FB" w:rsidRPr="004557E8" w:rsidRDefault="000A103C" w:rsidP="00EA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11/28 (39%)</w:t>
            </w:r>
          </w:p>
        </w:tc>
      </w:tr>
      <w:tr w:rsidR="000A103C" w:rsidRPr="004557E8" w14:paraId="6948D7A2" w14:textId="77777777" w:rsidTr="003C4281">
        <w:tc>
          <w:tcPr>
            <w:tcW w:w="0" w:type="auto"/>
            <w:gridSpan w:val="7"/>
          </w:tcPr>
          <w:p w14:paraId="581CF0A5" w14:textId="77777777" w:rsidR="000A103C" w:rsidRPr="004557E8" w:rsidRDefault="000A103C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4557E8">
              <w:rPr>
                <w:b/>
                <w:sz w:val="24"/>
                <w:szCs w:val="24"/>
                <w:lang w:eastAsia="ru-RU"/>
              </w:rPr>
              <w:t>Серология</w:t>
            </w:r>
            <w:r w:rsidRPr="004557E8">
              <w:rPr>
                <w:b/>
                <w:sz w:val="24"/>
                <w:szCs w:val="24"/>
                <w:vertAlign w:val="superscript"/>
                <w:lang w:eastAsia="ru-RU"/>
              </w:rPr>
              <w:t>е</w:t>
            </w:r>
            <w:proofErr w:type="spellEnd"/>
          </w:p>
        </w:tc>
      </w:tr>
      <w:tr w:rsidR="00EA00FB" w:rsidRPr="004557E8" w14:paraId="0AB085A2" w14:textId="77777777" w:rsidTr="003C4281">
        <w:tc>
          <w:tcPr>
            <w:tcW w:w="0" w:type="auto"/>
          </w:tcPr>
          <w:p w14:paraId="2A855F0F" w14:textId="77777777" w:rsidR="00EA00FB" w:rsidRPr="004557E8" w:rsidRDefault="00EA00FB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 xml:space="preserve">Потеря </w:t>
            </w: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H</w:t>
            </w:r>
            <w:r w:rsidR="005B1712" w:rsidRPr="004557E8">
              <w:rPr>
                <w:bCs/>
                <w:sz w:val="24"/>
                <w:szCs w:val="24"/>
                <w:lang w:eastAsia="ru-RU"/>
              </w:rPr>
              <w:t>b</w:t>
            </w:r>
            <w:r w:rsidRPr="004557E8">
              <w:rPr>
                <w:bCs/>
                <w:sz w:val="24"/>
                <w:szCs w:val="24"/>
                <w:lang w:eastAsia="ru-RU"/>
              </w:rPr>
              <w:t>eAg</w:t>
            </w:r>
            <w:proofErr w:type="spellEnd"/>
            <w:r w:rsidRPr="004557E8">
              <w:rPr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557E8">
              <w:rPr>
                <w:bCs/>
                <w:sz w:val="24"/>
                <w:szCs w:val="24"/>
                <w:lang w:eastAsia="ru-RU"/>
              </w:rPr>
              <w:t>сероконверсия</w:t>
            </w:r>
            <w:proofErr w:type="spellEnd"/>
            <w:proofErr w:type="gramStart"/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a</w:t>
            </w:r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>,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f</w:t>
            </w:r>
            <w:proofErr w:type="gramEnd"/>
          </w:p>
        </w:tc>
        <w:tc>
          <w:tcPr>
            <w:tcW w:w="981" w:type="dxa"/>
          </w:tcPr>
          <w:p w14:paraId="599C89EE" w14:textId="77777777" w:rsidR="00EA00FB" w:rsidRPr="004557E8" w:rsidRDefault="000A103C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7/46 (15%)</w:t>
            </w:r>
          </w:p>
        </w:tc>
        <w:tc>
          <w:tcPr>
            <w:tcW w:w="1234" w:type="dxa"/>
          </w:tcPr>
          <w:p w14:paraId="6564543D" w14:textId="77777777" w:rsidR="00EA00FB" w:rsidRPr="004557E8" w:rsidRDefault="000A103C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3/12 (25%)</w:t>
            </w:r>
          </w:p>
        </w:tc>
        <w:tc>
          <w:tcPr>
            <w:tcW w:w="990" w:type="dxa"/>
          </w:tcPr>
          <w:p w14:paraId="55008DC3" w14:textId="77777777" w:rsidR="00EA00FB" w:rsidRPr="004557E8" w:rsidRDefault="000A103C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10/58 (17%)</w:t>
            </w:r>
          </w:p>
        </w:tc>
        <w:tc>
          <w:tcPr>
            <w:tcW w:w="0" w:type="auto"/>
          </w:tcPr>
          <w:p w14:paraId="114B575F" w14:textId="77777777" w:rsidR="00EA00FB" w:rsidRPr="004557E8" w:rsidRDefault="000A103C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2/23 (9%)</w:t>
            </w:r>
          </w:p>
        </w:tc>
        <w:tc>
          <w:tcPr>
            <w:tcW w:w="1269" w:type="dxa"/>
          </w:tcPr>
          <w:p w14:paraId="12638FB6" w14:textId="77777777" w:rsidR="00EA00FB" w:rsidRPr="004557E8" w:rsidRDefault="000A103C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0/6 (0%)</w:t>
            </w:r>
          </w:p>
        </w:tc>
        <w:tc>
          <w:tcPr>
            <w:tcW w:w="925" w:type="dxa"/>
          </w:tcPr>
          <w:p w14:paraId="108CF570" w14:textId="77777777" w:rsidR="00EA00FB" w:rsidRPr="004557E8" w:rsidRDefault="000A103C" w:rsidP="002F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2/29 (7%)</w:t>
            </w:r>
          </w:p>
        </w:tc>
      </w:tr>
    </w:tbl>
    <w:p w14:paraId="31035751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ТАФ =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алафенамид</w:t>
      </w:r>
      <w:proofErr w:type="spellEnd"/>
    </w:p>
    <w:p w14:paraId="6839927E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a. Отсутствует = </w:t>
      </w:r>
      <w:r w:rsidR="006573DC" w:rsidRPr="004557E8">
        <w:rPr>
          <w:rFonts w:ascii="Times New Roman" w:hAnsi="Times New Roman"/>
          <w:sz w:val="20"/>
          <w:szCs w:val="20"/>
          <w:lang w:bidi="ru-RU"/>
        </w:rPr>
        <w:t>сбой анализов</w:t>
      </w:r>
    </w:p>
    <w:p w14:paraId="03B5E456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b. Популяция, использованная для анализа нормализации АЛТ, включала только пациентов с уровнем АЛТ выше ВГН в пределах центрального лабораторного диапазона на исходном этапе. </w:t>
      </w:r>
      <w:r w:rsidR="003C4281" w:rsidRPr="004557E8">
        <w:rPr>
          <w:rFonts w:ascii="Times New Roman" w:hAnsi="Times New Roman"/>
          <w:bCs/>
          <w:sz w:val="20"/>
          <w:szCs w:val="20"/>
          <w:lang w:eastAsia="ru-RU"/>
        </w:rPr>
        <w:t>Центральные лабораторные показатели АЛТ,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следующие: 34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ед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/л для девочек в возрасте 2 лет и старше или мальчиков в возрасте 1-9 лет и 43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ед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>/л для мальчиков старше 9 лет.</w:t>
      </w:r>
    </w:p>
    <w:p w14:paraId="740574AE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val="en-US" w:eastAsia="ru-RU"/>
        </w:rPr>
        <w:t>c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. Популяция, использованная для анализа нормализации АЛТ, включала только пациентов с уровнем АЛТ выше ВГН по критериям AASLD (30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Ед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>/л для мужчин и женщин в зависимости от диапазона для педиатрических участников) на исходном этапе.</w:t>
      </w:r>
    </w:p>
    <w:p w14:paraId="105A3552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>d. Критерии Американской ассоциации по изучению заболеваний печени (AASLD).</w:t>
      </w:r>
    </w:p>
    <w:p w14:paraId="6FBC32E0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e. Ни у одного пациента в обеих группах не было снижения уровня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H</w:t>
      </w:r>
      <w:r w:rsidR="005B1712" w:rsidRPr="004557E8">
        <w:rPr>
          <w:rFonts w:ascii="Times New Roman" w:hAnsi="Times New Roman"/>
          <w:bCs/>
          <w:sz w:val="20"/>
          <w:szCs w:val="20"/>
          <w:lang w:eastAsia="ru-RU"/>
        </w:rPr>
        <w:t>b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>sAg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или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сероконверсии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на 48-й неделе.</w:t>
      </w:r>
    </w:p>
    <w:p w14:paraId="21F89C09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>f. Популяция, использованная для серологического анализа, включала только пациентов с положительным уровнем антигена (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H</w:t>
      </w:r>
      <w:r w:rsidR="005B1712" w:rsidRPr="004557E8">
        <w:rPr>
          <w:rFonts w:ascii="Times New Roman" w:hAnsi="Times New Roman"/>
          <w:bCs/>
          <w:sz w:val="20"/>
          <w:szCs w:val="20"/>
          <w:lang w:eastAsia="ru-RU"/>
        </w:rPr>
        <w:t>b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>eAg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>) и отрицательным уровнем антител (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H</w:t>
      </w:r>
      <w:r w:rsidR="005B1712" w:rsidRPr="004557E8">
        <w:rPr>
          <w:rFonts w:ascii="Times New Roman" w:hAnsi="Times New Roman"/>
          <w:bCs/>
          <w:sz w:val="20"/>
          <w:szCs w:val="20"/>
          <w:lang w:eastAsia="ru-RU"/>
        </w:rPr>
        <w:t>b</w:t>
      </w:r>
      <w:r w:rsidRPr="004557E8">
        <w:rPr>
          <w:rFonts w:ascii="Times New Roman" w:hAnsi="Times New Roman"/>
          <w:bCs/>
          <w:sz w:val="20"/>
          <w:szCs w:val="20"/>
          <w:lang w:eastAsia="ru-RU"/>
        </w:rPr>
        <w:t>eAb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>) или их отсутствием на исходном этапе.</w:t>
      </w:r>
    </w:p>
    <w:p w14:paraId="5986C508" w14:textId="77777777" w:rsidR="00EA00FB" w:rsidRPr="004557E8" w:rsidRDefault="00EA00FB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241B3DA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i/>
          <w:iCs/>
          <w:sz w:val="24"/>
          <w:szCs w:val="24"/>
          <w:lang w:eastAsia="ru-RU"/>
        </w:rPr>
        <w:t>Изменения минеральной плотности костей в исследовании 1092</w:t>
      </w:r>
    </w:p>
    <w:p w14:paraId="4D9D73E8" w14:textId="77777777" w:rsidR="00EA00FB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Среди пациентов, получавших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и плацебо, средний процент увеличения МПК от исходного уровня до 24-й недели составил +1,6% (N=48) и +1,9% (N=23) для поясничного отдела позвоночника и +1,9% (N= 50) и +2,0% (N=23) для всего тела соответственно. На 24-й неделе средние изменения по сравнению с исходными Z-показателями МПК составляли +0,01 и -0,07 для поясничного отдела позвоночника и </w:t>
      </w:r>
      <w:r w:rsidR="00FD54BE"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        </w:t>
      </w:r>
      <w:proofErr w:type="gram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-0,04</w:t>
      </w:r>
      <w:proofErr w:type="gram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и -0,04 для всего тела в группах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тенофовира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алафенамида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и плацебо соответственно.</w:t>
      </w:r>
    </w:p>
    <w:p w14:paraId="2C747096" w14:textId="77777777" w:rsidR="000A103C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В открытой фазе среднее процентное увеличение МПК от исходного уровня до 48-й недели для поясничного отдела позвоночника и всего тела составило +3,8% (N=52) и +3,0% (N=54) у пациентов, которые продолжали принимать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, по сравнению с +2,8% (N=27) и +3,7% (N=27) у тех, кто перешел с плацебо на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на 24 неделе соответственно. На 48-й неделе средние изменения по сравнению с исходными показателями BMD-Z для поясничного отдела позвоночника и всего тела составили -0,05 и -0,15 для пациентов, которые продолжали принимать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, по сравнению с -0,12 и -0,07 для тех, кто перешел на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тенофовир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4"/>
          <w:szCs w:val="24"/>
          <w:lang w:eastAsia="ru-RU"/>
        </w:rPr>
        <w:t>алафенамид</w:t>
      </w:r>
      <w:proofErr w:type="spellEnd"/>
      <w:r w:rsidRPr="004557E8">
        <w:rPr>
          <w:rFonts w:ascii="Times New Roman" w:hAnsi="Times New Roman"/>
          <w:bCs/>
          <w:sz w:val="24"/>
          <w:szCs w:val="24"/>
          <w:lang w:eastAsia="ru-RU"/>
        </w:rPr>
        <w:t>, соответственно.</w:t>
      </w:r>
    </w:p>
    <w:p w14:paraId="0A0FF426" w14:textId="77777777" w:rsidR="00EA00FB" w:rsidRPr="004557E8" w:rsidRDefault="000A103C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Снижение МПК на 4% или более в поясничном отделе позвоночника и во всем теле на 24-й и 48-й неделе представлено в Таблице 14.</w:t>
      </w:r>
    </w:p>
    <w:p w14:paraId="21161E7D" w14:textId="77777777" w:rsidR="005B1712" w:rsidRPr="004557E8" w:rsidRDefault="005B1712" w:rsidP="000A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89C5C3A" w14:textId="77777777" w:rsidR="000A103C" w:rsidRPr="004557E8" w:rsidRDefault="000A103C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hAnsi="Times New Roman"/>
          <w:bCs/>
          <w:sz w:val="24"/>
          <w:szCs w:val="24"/>
          <w:lang w:eastAsia="ru-RU"/>
        </w:rPr>
        <w:t>Таблица 14. Снижение минеральной плотности костной ткани на 4% или более у детей детского возраста на 24-й и 48-й неделях (набор для анализа DXA всего тела/поясничного отдела позвоночника)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317"/>
        <w:gridCol w:w="1111"/>
        <w:gridCol w:w="1382"/>
        <w:gridCol w:w="967"/>
        <w:gridCol w:w="1111"/>
        <w:gridCol w:w="1422"/>
        <w:gridCol w:w="977"/>
      </w:tblGrid>
      <w:tr w:rsidR="000A103C" w:rsidRPr="004557E8" w14:paraId="4D8F632F" w14:textId="77777777" w:rsidTr="005B1712">
        <w:tc>
          <w:tcPr>
            <w:tcW w:w="2405" w:type="dxa"/>
            <w:vAlign w:val="center"/>
          </w:tcPr>
          <w:p w14:paraId="518B0D76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3"/>
            <w:vAlign w:val="center"/>
          </w:tcPr>
          <w:p w14:paraId="5E905363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ТАФ</w:t>
            </w:r>
          </w:p>
        </w:tc>
        <w:tc>
          <w:tcPr>
            <w:tcW w:w="3558" w:type="dxa"/>
            <w:gridSpan w:val="3"/>
            <w:vAlign w:val="center"/>
          </w:tcPr>
          <w:p w14:paraId="61DBEFE7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Плацебо заменено на ТАФ</w:t>
            </w:r>
            <w:r w:rsidR="00CA4BC5" w:rsidRPr="004557E8">
              <w:rPr>
                <w:b/>
                <w:sz w:val="24"/>
                <w:szCs w:val="24"/>
                <w:lang w:eastAsia="ru-RU"/>
              </w:rPr>
              <w:t xml:space="preserve"> на 24 неделе</w:t>
            </w:r>
          </w:p>
        </w:tc>
      </w:tr>
      <w:tr w:rsidR="000A103C" w:rsidRPr="004557E8" w14:paraId="2417BD3E" w14:textId="77777777" w:rsidTr="005B1712">
        <w:tc>
          <w:tcPr>
            <w:tcW w:w="2405" w:type="dxa"/>
            <w:vAlign w:val="center"/>
          </w:tcPr>
          <w:p w14:paraId="10DCDBFE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3F0518E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1</w:t>
            </w:r>
          </w:p>
          <w:p w14:paraId="3575637E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N=4</w:t>
            </w:r>
            <w:r w:rsidRPr="004557E8">
              <w:rPr>
                <w:b/>
                <w:sz w:val="24"/>
                <w:szCs w:val="24"/>
                <w:lang w:eastAsia="ru-RU"/>
              </w:rPr>
              <w:t>4</w:t>
            </w:r>
            <w:r w:rsidRPr="004557E8">
              <w:rPr>
                <w:b/>
                <w:sz w:val="24"/>
                <w:szCs w:val="24"/>
                <w:vertAlign w:val="superscript"/>
                <w:lang w:eastAsia="ru-RU"/>
              </w:rPr>
              <w:t>а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7376A75F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2</w:t>
            </w:r>
          </w:p>
          <w:p w14:paraId="29FFD61C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Группа 1</w:t>
            </w:r>
          </w:p>
          <w:p w14:paraId="56C5A78B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N=12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2" w:type="dxa"/>
            <w:vAlign w:val="center"/>
          </w:tcPr>
          <w:p w14:paraId="77B96240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Итого</w:t>
            </w:r>
          </w:p>
          <w:p w14:paraId="1DFB1A87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N=5</w:t>
            </w:r>
            <w:r w:rsidRPr="004557E8">
              <w:rPr>
                <w:b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111" w:type="dxa"/>
            <w:vAlign w:val="center"/>
          </w:tcPr>
          <w:p w14:paraId="45356876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1</w:t>
            </w:r>
          </w:p>
          <w:p w14:paraId="2CF55248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N=2</w:t>
            </w:r>
            <w:r w:rsidRPr="004557E8">
              <w:rPr>
                <w:b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63" w:type="dxa"/>
            <w:vAlign w:val="center"/>
          </w:tcPr>
          <w:p w14:paraId="5A625EB5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Когорта 2</w:t>
            </w:r>
          </w:p>
          <w:p w14:paraId="0AD83BB2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Группа 1</w:t>
            </w:r>
          </w:p>
          <w:p w14:paraId="2476CB65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N=6</w:t>
            </w:r>
            <w:r w:rsidRPr="004557E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dxa"/>
            <w:vAlign w:val="center"/>
          </w:tcPr>
          <w:p w14:paraId="7C65B037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Итого</w:t>
            </w:r>
          </w:p>
          <w:p w14:paraId="6426159B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(</w:t>
            </w:r>
            <w:r w:rsidRPr="004557E8">
              <w:rPr>
                <w:b/>
                <w:sz w:val="24"/>
                <w:szCs w:val="24"/>
                <w:lang w:val="en-US" w:eastAsia="ru-RU"/>
              </w:rPr>
              <w:t>N=2</w:t>
            </w:r>
            <w:r w:rsidRPr="004557E8">
              <w:rPr>
                <w:b/>
                <w:sz w:val="24"/>
                <w:szCs w:val="24"/>
                <w:lang w:eastAsia="ru-RU"/>
              </w:rPr>
              <w:t>7)</w:t>
            </w:r>
          </w:p>
        </w:tc>
      </w:tr>
      <w:tr w:rsidR="000A103C" w:rsidRPr="004557E8" w14:paraId="183D81E7" w14:textId="77777777" w:rsidTr="005B1712">
        <w:tc>
          <w:tcPr>
            <w:tcW w:w="9061" w:type="dxa"/>
            <w:gridSpan w:val="7"/>
            <w:vAlign w:val="center"/>
          </w:tcPr>
          <w:p w14:paraId="3DC3B683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Неделя 24</w:t>
            </w:r>
          </w:p>
        </w:tc>
      </w:tr>
      <w:tr w:rsidR="000A103C" w:rsidRPr="004557E8" w14:paraId="559E7F6E" w14:textId="77777777" w:rsidTr="005B1712">
        <w:tc>
          <w:tcPr>
            <w:tcW w:w="2405" w:type="dxa"/>
            <w:vAlign w:val="center"/>
          </w:tcPr>
          <w:p w14:paraId="0AAD4B3F" w14:textId="77777777" w:rsidR="005B1712" w:rsidRPr="004557E8" w:rsidRDefault="005B1712" w:rsidP="005B17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Снижение во всем теле не менее чем на 4%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</w:tc>
        <w:tc>
          <w:tcPr>
            <w:tcW w:w="709" w:type="dxa"/>
            <w:vAlign w:val="center"/>
          </w:tcPr>
          <w:p w14:paraId="352C5893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0/39</w:t>
            </w:r>
          </w:p>
        </w:tc>
        <w:tc>
          <w:tcPr>
            <w:tcW w:w="1417" w:type="dxa"/>
            <w:vAlign w:val="center"/>
          </w:tcPr>
          <w:p w14:paraId="014ECB16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1/11 (9.1%)</w:t>
            </w:r>
          </w:p>
        </w:tc>
        <w:tc>
          <w:tcPr>
            <w:tcW w:w="972" w:type="dxa"/>
            <w:vAlign w:val="center"/>
          </w:tcPr>
          <w:p w14:paraId="46D1A9A3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1/50 (2.0%)</w:t>
            </w:r>
          </w:p>
        </w:tc>
        <w:tc>
          <w:tcPr>
            <w:tcW w:w="1111" w:type="dxa"/>
            <w:vAlign w:val="center"/>
          </w:tcPr>
          <w:p w14:paraId="7465B737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0/18</w:t>
            </w:r>
          </w:p>
        </w:tc>
        <w:tc>
          <w:tcPr>
            <w:tcW w:w="1463" w:type="dxa"/>
            <w:vAlign w:val="center"/>
          </w:tcPr>
          <w:p w14:paraId="7D32BEF3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0/5</w:t>
            </w:r>
          </w:p>
        </w:tc>
        <w:tc>
          <w:tcPr>
            <w:tcW w:w="984" w:type="dxa"/>
            <w:vAlign w:val="center"/>
          </w:tcPr>
          <w:p w14:paraId="1ED467CA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0/23</w:t>
            </w:r>
          </w:p>
        </w:tc>
      </w:tr>
      <w:tr w:rsidR="000A103C" w:rsidRPr="004557E8" w14:paraId="4BEF8762" w14:textId="77777777" w:rsidTr="005B1712">
        <w:tc>
          <w:tcPr>
            <w:tcW w:w="2405" w:type="dxa"/>
            <w:vAlign w:val="center"/>
          </w:tcPr>
          <w:p w14:paraId="3C8B9101" w14:textId="77777777" w:rsidR="005B1712" w:rsidRPr="004557E8" w:rsidRDefault="005B1712" w:rsidP="005B17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Снижение в поясничном отделе позвоночника не менее чем на 4%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c</w:t>
            </w:r>
          </w:p>
        </w:tc>
        <w:tc>
          <w:tcPr>
            <w:tcW w:w="709" w:type="dxa"/>
            <w:vAlign w:val="center"/>
          </w:tcPr>
          <w:p w14:paraId="5146985F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0/37</w:t>
            </w:r>
          </w:p>
        </w:tc>
        <w:tc>
          <w:tcPr>
            <w:tcW w:w="1417" w:type="dxa"/>
            <w:vAlign w:val="center"/>
          </w:tcPr>
          <w:p w14:paraId="1C505984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3/11 (27.3%)</w:t>
            </w:r>
          </w:p>
        </w:tc>
        <w:tc>
          <w:tcPr>
            <w:tcW w:w="972" w:type="dxa"/>
            <w:vAlign w:val="center"/>
          </w:tcPr>
          <w:p w14:paraId="5186F119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3/48 (6.3%)</w:t>
            </w:r>
          </w:p>
        </w:tc>
        <w:tc>
          <w:tcPr>
            <w:tcW w:w="1111" w:type="dxa"/>
            <w:vAlign w:val="center"/>
          </w:tcPr>
          <w:p w14:paraId="40DC253F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0/18</w:t>
            </w:r>
          </w:p>
        </w:tc>
        <w:tc>
          <w:tcPr>
            <w:tcW w:w="1463" w:type="dxa"/>
            <w:vAlign w:val="center"/>
          </w:tcPr>
          <w:p w14:paraId="588DC192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0/5</w:t>
            </w:r>
          </w:p>
        </w:tc>
        <w:tc>
          <w:tcPr>
            <w:tcW w:w="984" w:type="dxa"/>
            <w:vAlign w:val="center"/>
          </w:tcPr>
          <w:p w14:paraId="5147D627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0/23</w:t>
            </w:r>
          </w:p>
        </w:tc>
      </w:tr>
      <w:tr w:rsidR="000A103C" w:rsidRPr="004557E8" w14:paraId="3BD40655" w14:textId="77777777" w:rsidTr="005B1712">
        <w:tc>
          <w:tcPr>
            <w:tcW w:w="9061" w:type="dxa"/>
            <w:gridSpan w:val="7"/>
            <w:vAlign w:val="center"/>
          </w:tcPr>
          <w:p w14:paraId="3F29A60D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/>
                <w:sz w:val="24"/>
                <w:szCs w:val="24"/>
                <w:lang w:eastAsia="ru-RU"/>
              </w:rPr>
              <w:t>Неделя 48</w:t>
            </w:r>
          </w:p>
        </w:tc>
      </w:tr>
      <w:tr w:rsidR="000A103C" w:rsidRPr="004557E8" w14:paraId="7EEE9B92" w14:textId="77777777" w:rsidTr="005B1712">
        <w:tc>
          <w:tcPr>
            <w:tcW w:w="2405" w:type="dxa"/>
            <w:vAlign w:val="center"/>
          </w:tcPr>
          <w:p w14:paraId="5003BAE7" w14:textId="77777777" w:rsidR="005B1712" w:rsidRPr="004557E8" w:rsidRDefault="005B1712" w:rsidP="005B17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Снижение во всем теле не менее чем на 4%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b</w:t>
            </w:r>
          </w:p>
        </w:tc>
        <w:tc>
          <w:tcPr>
            <w:tcW w:w="709" w:type="dxa"/>
            <w:vAlign w:val="center"/>
          </w:tcPr>
          <w:p w14:paraId="3A260975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1/42 (2.4%)</w:t>
            </w:r>
          </w:p>
        </w:tc>
        <w:tc>
          <w:tcPr>
            <w:tcW w:w="1417" w:type="dxa"/>
            <w:vAlign w:val="center"/>
          </w:tcPr>
          <w:p w14:paraId="6045A9AA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0/12</w:t>
            </w:r>
          </w:p>
        </w:tc>
        <w:tc>
          <w:tcPr>
            <w:tcW w:w="972" w:type="dxa"/>
            <w:vAlign w:val="center"/>
          </w:tcPr>
          <w:p w14:paraId="6B8AC8A1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1/54 (1.9%)</w:t>
            </w:r>
          </w:p>
        </w:tc>
        <w:tc>
          <w:tcPr>
            <w:tcW w:w="1111" w:type="dxa"/>
            <w:vAlign w:val="center"/>
          </w:tcPr>
          <w:p w14:paraId="463FBB94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1/21 (4.8%)</w:t>
            </w:r>
          </w:p>
        </w:tc>
        <w:tc>
          <w:tcPr>
            <w:tcW w:w="1463" w:type="dxa"/>
            <w:vAlign w:val="center"/>
          </w:tcPr>
          <w:p w14:paraId="160BF69C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0/6</w:t>
            </w:r>
          </w:p>
        </w:tc>
        <w:tc>
          <w:tcPr>
            <w:tcW w:w="984" w:type="dxa"/>
            <w:vAlign w:val="center"/>
          </w:tcPr>
          <w:p w14:paraId="640069FB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1/27 (3.7%)</w:t>
            </w:r>
          </w:p>
        </w:tc>
      </w:tr>
      <w:tr w:rsidR="000A103C" w:rsidRPr="004557E8" w14:paraId="7BAB7147" w14:textId="77777777" w:rsidTr="005B1712">
        <w:tc>
          <w:tcPr>
            <w:tcW w:w="2405" w:type="dxa"/>
            <w:vAlign w:val="center"/>
          </w:tcPr>
          <w:p w14:paraId="22D324A1" w14:textId="77777777" w:rsidR="005B1712" w:rsidRPr="004557E8" w:rsidRDefault="005B1712" w:rsidP="005B17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Снижение в поясничном отделе позвоночника не менее чем на 4%</w:t>
            </w:r>
            <w:r w:rsidRPr="004557E8">
              <w:rPr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557E8">
              <w:rPr>
                <w:bCs/>
                <w:sz w:val="24"/>
                <w:szCs w:val="24"/>
                <w:vertAlign w:val="superscript"/>
                <w:lang w:val="en-US" w:eastAsia="ru-RU"/>
              </w:rPr>
              <w:t>c</w:t>
            </w:r>
          </w:p>
        </w:tc>
        <w:tc>
          <w:tcPr>
            <w:tcW w:w="709" w:type="dxa"/>
            <w:vAlign w:val="center"/>
          </w:tcPr>
          <w:p w14:paraId="1931003E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0/40</w:t>
            </w:r>
          </w:p>
        </w:tc>
        <w:tc>
          <w:tcPr>
            <w:tcW w:w="1417" w:type="dxa"/>
            <w:vAlign w:val="center"/>
          </w:tcPr>
          <w:p w14:paraId="07E31681" w14:textId="77777777" w:rsidR="000A103C" w:rsidRPr="004557E8" w:rsidRDefault="000A103C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2/12 (16.7%)</w:t>
            </w:r>
          </w:p>
        </w:tc>
        <w:tc>
          <w:tcPr>
            <w:tcW w:w="972" w:type="dxa"/>
            <w:vAlign w:val="center"/>
          </w:tcPr>
          <w:p w14:paraId="2DE30D62" w14:textId="77777777" w:rsidR="000A103C" w:rsidRPr="004557E8" w:rsidRDefault="00C54532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2/52 (3.8%)</w:t>
            </w:r>
          </w:p>
        </w:tc>
        <w:tc>
          <w:tcPr>
            <w:tcW w:w="1111" w:type="dxa"/>
            <w:vAlign w:val="center"/>
          </w:tcPr>
          <w:p w14:paraId="7A853D1E" w14:textId="77777777" w:rsidR="000A103C" w:rsidRPr="004557E8" w:rsidRDefault="00C54532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0/21</w:t>
            </w:r>
          </w:p>
        </w:tc>
        <w:tc>
          <w:tcPr>
            <w:tcW w:w="1463" w:type="dxa"/>
            <w:vAlign w:val="center"/>
          </w:tcPr>
          <w:p w14:paraId="6486A3E7" w14:textId="77777777" w:rsidR="000A103C" w:rsidRPr="004557E8" w:rsidRDefault="00C54532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1/6 (16.7%)</w:t>
            </w:r>
          </w:p>
        </w:tc>
        <w:tc>
          <w:tcPr>
            <w:tcW w:w="984" w:type="dxa"/>
            <w:vAlign w:val="center"/>
          </w:tcPr>
          <w:p w14:paraId="1C4AC670" w14:textId="77777777" w:rsidR="000A103C" w:rsidRPr="004557E8" w:rsidRDefault="00C54532" w:rsidP="005B1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557E8">
              <w:rPr>
                <w:bCs/>
                <w:sz w:val="24"/>
                <w:szCs w:val="24"/>
                <w:lang w:eastAsia="ru-RU"/>
              </w:rPr>
              <w:t>1/27 (3.7%)</w:t>
            </w:r>
          </w:p>
        </w:tc>
      </w:tr>
    </w:tbl>
    <w:p w14:paraId="7B25B2A4" w14:textId="77777777" w:rsidR="00C54532" w:rsidRPr="004557E8" w:rsidRDefault="006B1523" w:rsidP="00C5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>ТАФ</w:t>
      </w:r>
      <w:r w:rsidR="00C54532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= </w:t>
      </w:r>
      <w:proofErr w:type="spellStart"/>
      <w:r w:rsidR="00C54532" w:rsidRPr="004557E8">
        <w:rPr>
          <w:rFonts w:ascii="Times New Roman" w:hAnsi="Times New Roman"/>
          <w:bCs/>
          <w:sz w:val="20"/>
          <w:szCs w:val="20"/>
          <w:lang w:eastAsia="ru-RU"/>
        </w:rPr>
        <w:t>тенофовир</w:t>
      </w:r>
      <w:proofErr w:type="spellEnd"/>
      <w:r w:rsidR="00C54532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proofErr w:type="spellStart"/>
      <w:r w:rsidR="00C54532" w:rsidRPr="004557E8">
        <w:rPr>
          <w:rFonts w:ascii="Times New Roman" w:hAnsi="Times New Roman"/>
          <w:bCs/>
          <w:sz w:val="20"/>
          <w:szCs w:val="20"/>
          <w:lang w:eastAsia="ru-RU"/>
        </w:rPr>
        <w:t>алафенамид</w:t>
      </w:r>
      <w:proofErr w:type="spellEnd"/>
    </w:p>
    <w:p w14:paraId="70433589" w14:textId="77777777" w:rsidR="00C54532" w:rsidRPr="004557E8" w:rsidRDefault="00C54532" w:rsidP="00C5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Знаменатель — число пациентов с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неотсутствующими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proofErr w:type="spellStart"/>
      <w:r w:rsidRPr="004557E8">
        <w:rPr>
          <w:rFonts w:ascii="Times New Roman" w:hAnsi="Times New Roman"/>
          <w:bCs/>
          <w:sz w:val="20"/>
          <w:szCs w:val="20"/>
          <w:lang w:eastAsia="ru-RU"/>
        </w:rPr>
        <w:t>постбазисными</w:t>
      </w:r>
      <w:proofErr w:type="spellEnd"/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значениями.</w:t>
      </w:r>
    </w:p>
    <w:p w14:paraId="5D69C1A1" w14:textId="77777777" w:rsidR="00C54532" w:rsidRPr="004557E8" w:rsidRDefault="00C54532" w:rsidP="00C5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а. N = 42 для набора анализов DXA поясничного отдела позвоночника в когорте 1 </w:t>
      </w:r>
      <w:r w:rsidRPr="004557E8">
        <w:rPr>
          <w:rFonts w:ascii="Times New Roman" w:hAnsi="Times New Roman"/>
          <w:bCs/>
          <w:strike/>
          <w:sz w:val="20"/>
          <w:szCs w:val="20"/>
          <w:lang w:eastAsia="ru-RU"/>
        </w:rPr>
        <w:t>TAF</w:t>
      </w:r>
      <w:r w:rsidR="005B1712"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 ТАФ</w:t>
      </w:r>
    </w:p>
    <w:p w14:paraId="3D3616E1" w14:textId="77777777" w:rsidR="00C54532" w:rsidRPr="004557E8" w:rsidRDefault="00C54532" w:rsidP="00C5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trike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б. </w:t>
      </w:r>
      <w:r w:rsidR="003134E6" w:rsidRPr="004557E8">
        <w:rPr>
          <w:rFonts w:ascii="Times New Roman" w:hAnsi="Times New Roman"/>
          <w:bCs/>
          <w:sz w:val="20"/>
          <w:szCs w:val="20"/>
          <w:lang w:eastAsia="ru-RU"/>
        </w:rPr>
        <w:t>В набор анализов DXA всего тела были включены только те пациенты, у которых минеральная плотность костной ткани всего тела не изменялась на исходном уровне.</w:t>
      </w:r>
    </w:p>
    <w:p w14:paraId="5F1883F6" w14:textId="77777777" w:rsidR="000A103C" w:rsidRPr="004557E8" w:rsidRDefault="00C54532" w:rsidP="00C5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trike/>
          <w:sz w:val="20"/>
          <w:szCs w:val="20"/>
          <w:lang w:eastAsia="ru-RU"/>
        </w:rPr>
      </w:pPr>
      <w:r w:rsidRPr="004557E8">
        <w:rPr>
          <w:rFonts w:ascii="Times New Roman" w:hAnsi="Times New Roman"/>
          <w:bCs/>
          <w:sz w:val="20"/>
          <w:szCs w:val="20"/>
          <w:lang w:eastAsia="ru-RU"/>
        </w:rPr>
        <w:t xml:space="preserve">в. </w:t>
      </w:r>
      <w:r w:rsidR="003134E6" w:rsidRPr="004557E8">
        <w:rPr>
          <w:rFonts w:ascii="Times New Roman" w:hAnsi="Times New Roman"/>
          <w:bCs/>
          <w:sz w:val="20"/>
          <w:szCs w:val="20"/>
          <w:lang w:eastAsia="ru-RU"/>
        </w:rPr>
        <w:t>В набор анализов DXA поясничного отдела позвоночника были включены только те пациенты, у которых минеральная плотность костной ткани поясничного отдела позвоночника не изменялась на исходном уровне.</w:t>
      </w:r>
    </w:p>
    <w:p w14:paraId="4A8B667C" w14:textId="77777777" w:rsidR="000A103C" w:rsidRPr="004557E8" w:rsidRDefault="000A103C" w:rsidP="002F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0E76F06" w14:textId="77777777" w:rsidR="008201FB" w:rsidRPr="004557E8" w:rsidRDefault="00C153F2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299B1A10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Всасывание</w:t>
      </w:r>
    </w:p>
    <w:p w14:paraId="3E43AC55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После перорального приема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 xml:space="preserve">на голодный желудок у взрослых пациентов с хроническим гепатитом В, пиковые концентрации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плазме наблюдались приблизительно через </w:t>
      </w:r>
      <w:r w:rsidR="00A032B4" w:rsidRPr="004557E8">
        <w:rPr>
          <w:rFonts w:ascii="Times New Roman" w:hAnsi="Times New Roman"/>
          <w:sz w:val="24"/>
          <w:szCs w:val="24"/>
        </w:rPr>
        <w:t>0</w:t>
      </w:r>
      <w:r w:rsidR="003134E6" w:rsidRPr="004557E8">
        <w:rPr>
          <w:rFonts w:ascii="Times New Roman" w:hAnsi="Times New Roman"/>
          <w:sz w:val="24"/>
          <w:szCs w:val="24"/>
        </w:rPr>
        <w:t>,</w:t>
      </w:r>
      <w:r w:rsidRPr="004557E8">
        <w:rPr>
          <w:rFonts w:ascii="Times New Roman" w:hAnsi="Times New Roman"/>
          <w:sz w:val="24"/>
          <w:szCs w:val="24"/>
        </w:rPr>
        <w:t xml:space="preserve">48 часов после приема. На основании </w:t>
      </w:r>
      <w:r w:rsidR="003134E6" w:rsidRPr="004557E8">
        <w:rPr>
          <w:rFonts w:ascii="Times New Roman" w:hAnsi="Times New Roman"/>
          <w:sz w:val="24"/>
          <w:szCs w:val="24"/>
        </w:rPr>
        <w:t xml:space="preserve">популяционного </w:t>
      </w:r>
      <w:r w:rsidRPr="004557E8">
        <w:rPr>
          <w:rFonts w:ascii="Times New Roman" w:hAnsi="Times New Roman"/>
          <w:sz w:val="24"/>
          <w:szCs w:val="24"/>
        </w:rPr>
        <w:t xml:space="preserve">фармакокинетического анализа Фазы 3 пациентов с хроническим гепатитом В, среднее стабильное состояние области под кривой </w:t>
      </w:r>
      <w:r w:rsidRPr="004557E8">
        <w:rPr>
          <w:rFonts w:ascii="Times New Roman" w:hAnsi="Times New Roman"/>
          <w:sz w:val="24"/>
          <w:szCs w:val="24"/>
          <w:lang w:val="en-US"/>
        </w:rPr>
        <w:t>AUC</w:t>
      </w:r>
      <w:r w:rsidRPr="004557E8">
        <w:rPr>
          <w:rFonts w:ascii="Times New Roman" w:hAnsi="Times New Roman"/>
          <w:sz w:val="24"/>
          <w:szCs w:val="24"/>
          <w:vertAlign w:val="subscript"/>
        </w:rPr>
        <w:t>0-24</w:t>
      </w:r>
      <w:r w:rsidRPr="004557E8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</w:t>
      </w:r>
      <w:r w:rsidRPr="004557E8">
        <w:rPr>
          <w:rFonts w:ascii="Times New Roman" w:hAnsi="Times New Roman"/>
          <w:sz w:val="24"/>
          <w:szCs w:val="24"/>
          <w:lang w:val="en-US"/>
        </w:rPr>
        <w:t>N</w:t>
      </w:r>
      <w:r w:rsidR="00D2771B" w:rsidRPr="004557E8">
        <w:rPr>
          <w:rFonts w:ascii="Times New Roman" w:hAnsi="Times New Roman"/>
          <w:sz w:val="24"/>
          <w:szCs w:val="24"/>
        </w:rPr>
        <w:t>=</w:t>
      </w:r>
      <w:r w:rsidRPr="004557E8">
        <w:rPr>
          <w:rFonts w:ascii="Times New Roman" w:hAnsi="Times New Roman"/>
          <w:sz w:val="24"/>
          <w:szCs w:val="24"/>
        </w:rPr>
        <w:t xml:space="preserve">698) 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</w:t>
      </w:r>
      <w:r w:rsidRPr="004557E8">
        <w:rPr>
          <w:rFonts w:ascii="Times New Roman" w:hAnsi="Times New Roman"/>
          <w:sz w:val="24"/>
          <w:szCs w:val="24"/>
          <w:lang w:val="en-US"/>
        </w:rPr>
        <w:t>N</w:t>
      </w:r>
      <w:r w:rsidR="00D2771B" w:rsidRPr="004557E8">
        <w:rPr>
          <w:rFonts w:ascii="Times New Roman" w:hAnsi="Times New Roman"/>
          <w:sz w:val="24"/>
          <w:szCs w:val="24"/>
        </w:rPr>
        <w:t>=</w:t>
      </w:r>
      <w:r w:rsidRPr="004557E8">
        <w:rPr>
          <w:rFonts w:ascii="Times New Roman" w:hAnsi="Times New Roman"/>
          <w:sz w:val="24"/>
          <w:szCs w:val="24"/>
        </w:rPr>
        <w:t>856) составляли 0,22 мкг*час/мл и 0,32*час/мл соответственно. Стабильное состояние для С</w:t>
      </w:r>
      <w:r w:rsidRPr="004557E8">
        <w:rPr>
          <w:rFonts w:ascii="Times New Roman" w:hAnsi="Times New Roman"/>
          <w:sz w:val="24"/>
          <w:szCs w:val="24"/>
          <w:vertAlign w:val="subscript"/>
          <w:lang w:val="en-US"/>
        </w:rPr>
        <w:t>max</w:t>
      </w:r>
      <w:r w:rsidRPr="004557E8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составило 0,18 и 0,22 мкг/мл соответственно. Относительно приема на голодный желудок: прием однократной дозы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 пищей с повышенным содержанием жиров привело к повышению воздействия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на 65%.</w:t>
      </w:r>
    </w:p>
    <w:p w14:paraId="45370E86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Распределение</w:t>
      </w:r>
    </w:p>
    <w:p w14:paraId="6C34F5C1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Связывание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к протеинам плазмы человека в пробах, полученных при клинических исследованиях, составило приблизительно 80%. Связывание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r w:rsidR="003134E6" w:rsidRPr="004557E8">
        <w:rPr>
          <w:rFonts w:ascii="Times New Roman" w:hAnsi="Times New Roman"/>
          <w:sz w:val="24"/>
          <w:szCs w:val="24"/>
        </w:rPr>
        <w:t xml:space="preserve">с </w:t>
      </w:r>
      <w:r w:rsidRPr="004557E8">
        <w:rPr>
          <w:rFonts w:ascii="Times New Roman" w:hAnsi="Times New Roman"/>
          <w:sz w:val="24"/>
          <w:szCs w:val="24"/>
        </w:rPr>
        <w:t>протеинам</w:t>
      </w:r>
      <w:r w:rsidR="003134E6" w:rsidRPr="004557E8">
        <w:rPr>
          <w:rFonts w:ascii="Times New Roman" w:hAnsi="Times New Roman"/>
          <w:sz w:val="24"/>
          <w:szCs w:val="24"/>
        </w:rPr>
        <w:t>и</w:t>
      </w:r>
      <w:r w:rsidRPr="004557E8">
        <w:rPr>
          <w:rFonts w:ascii="Times New Roman" w:hAnsi="Times New Roman"/>
          <w:sz w:val="24"/>
          <w:szCs w:val="24"/>
        </w:rPr>
        <w:t xml:space="preserve"> плазмы человека составляет менее 0,7% и не зависит от концентрации в диапазоне от 0,01 до 25 мкг/мл.</w:t>
      </w:r>
    </w:p>
    <w:p w14:paraId="46C4ED77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557E8">
        <w:rPr>
          <w:rFonts w:ascii="Times New Roman" w:hAnsi="Times New Roman"/>
          <w:i/>
          <w:iCs/>
          <w:sz w:val="24"/>
          <w:szCs w:val="24"/>
        </w:rPr>
        <w:t>Биотрансформация</w:t>
      </w:r>
      <w:proofErr w:type="spellEnd"/>
    </w:p>
    <w:p w14:paraId="0BD6CDEB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Метаболизм является основным путем </w:t>
      </w:r>
      <w:r w:rsidR="003134E6" w:rsidRPr="004557E8">
        <w:rPr>
          <w:rFonts w:ascii="Times New Roman" w:hAnsi="Times New Roman"/>
          <w:sz w:val="24"/>
          <w:szCs w:val="24"/>
        </w:rPr>
        <w:t xml:space="preserve">выведения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r w:rsidR="003134E6" w:rsidRPr="004557E8">
        <w:rPr>
          <w:rFonts w:ascii="Times New Roman" w:hAnsi="Times New Roman"/>
          <w:sz w:val="24"/>
          <w:szCs w:val="24"/>
        </w:rPr>
        <w:t>из организма человека</w:t>
      </w:r>
      <w:r w:rsidRPr="004557E8">
        <w:rPr>
          <w:rFonts w:ascii="Times New Roman" w:hAnsi="Times New Roman"/>
          <w:sz w:val="24"/>
          <w:szCs w:val="24"/>
        </w:rPr>
        <w:t xml:space="preserve">, </w:t>
      </w:r>
      <w:r w:rsidR="003134E6" w:rsidRPr="004557E8">
        <w:rPr>
          <w:rFonts w:ascii="Times New Roman" w:hAnsi="Times New Roman"/>
          <w:sz w:val="24"/>
          <w:szCs w:val="24"/>
        </w:rPr>
        <w:t>на долю которого приходится &gt;</w:t>
      </w:r>
      <w:r w:rsidRPr="004557E8">
        <w:rPr>
          <w:rFonts w:ascii="Times New Roman" w:hAnsi="Times New Roman"/>
          <w:sz w:val="24"/>
          <w:szCs w:val="24"/>
        </w:rPr>
        <w:t xml:space="preserve">80% пероральной дозы. Исследования </w:t>
      </w:r>
      <w:r w:rsidRPr="004557E8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4557E8">
        <w:rPr>
          <w:rFonts w:ascii="Times New Roman" w:hAnsi="Times New Roman"/>
          <w:i/>
          <w:sz w:val="24"/>
          <w:szCs w:val="24"/>
        </w:rPr>
        <w:t xml:space="preserve"> </w:t>
      </w:r>
      <w:r w:rsidRPr="004557E8">
        <w:rPr>
          <w:rFonts w:ascii="Times New Roman" w:hAnsi="Times New Roman"/>
          <w:i/>
          <w:sz w:val="24"/>
          <w:szCs w:val="24"/>
          <w:lang w:val="en-US"/>
        </w:rPr>
        <w:t>vitro</w:t>
      </w:r>
      <w:r w:rsidRPr="004557E8">
        <w:rPr>
          <w:rFonts w:ascii="Times New Roman" w:hAnsi="Times New Roman"/>
          <w:i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 xml:space="preserve">показали, что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метаболизируется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(основной метаболит) при помощи карбоксилэстеразы-1 в </w:t>
      </w:r>
      <w:proofErr w:type="spellStart"/>
      <w:r w:rsidRPr="004557E8">
        <w:rPr>
          <w:rFonts w:ascii="Times New Roman" w:hAnsi="Times New Roman"/>
          <w:sz w:val="24"/>
          <w:szCs w:val="24"/>
        </w:rPr>
        <w:t>гепатоцитах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и </w:t>
      </w:r>
      <w:r w:rsidRPr="004557E8">
        <w:rPr>
          <w:rFonts w:ascii="Times New Roman" w:hAnsi="Times New Roman"/>
          <w:sz w:val="24"/>
          <w:szCs w:val="24"/>
        </w:rPr>
        <w:lastRenderedPageBreak/>
        <w:t xml:space="preserve">при помощи </w:t>
      </w:r>
      <w:proofErr w:type="spellStart"/>
      <w:r w:rsidRPr="004557E8">
        <w:rPr>
          <w:rFonts w:ascii="Times New Roman" w:hAnsi="Times New Roman"/>
          <w:sz w:val="24"/>
          <w:szCs w:val="24"/>
        </w:rPr>
        <w:t>катепсина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А в </w:t>
      </w:r>
      <w:proofErr w:type="spellStart"/>
      <w:r w:rsidRPr="004557E8">
        <w:rPr>
          <w:rFonts w:ascii="Times New Roman" w:hAnsi="Times New Roman"/>
          <w:sz w:val="24"/>
          <w:szCs w:val="24"/>
        </w:rPr>
        <w:t>мононуклеарах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периферической крови и макрофагах. </w:t>
      </w:r>
      <w:r w:rsidRPr="004557E8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4557E8">
        <w:rPr>
          <w:rFonts w:ascii="Times New Roman" w:hAnsi="Times New Roman"/>
          <w:i/>
          <w:sz w:val="24"/>
          <w:szCs w:val="24"/>
        </w:rPr>
        <w:t xml:space="preserve"> </w:t>
      </w:r>
      <w:r w:rsidRPr="004557E8">
        <w:rPr>
          <w:rFonts w:ascii="Times New Roman" w:hAnsi="Times New Roman"/>
          <w:i/>
          <w:sz w:val="24"/>
          <w:szCs w:val="24"/>
          <w:lang w:val="en-US"/>
        </w:rPr>
        <w:t>vivo</w:t>
      </w:r>
      <w:r w:rsidRPr="004557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гидролизуется внутри клеток </w:t>
      </w:r>
      <w:r w:rsidR="00DC6D2E" w:rsidRPr="004557E8">
        <w:rPr>
          <w:rFonts w:ascii="Times New Roman" w:hAnsi="Times New Roman"/>
          <w:sz w:val="24"/>
          <w:szCs w:val="24"/>
        </w:rPr>
        <w:t xml:space="preserve">с образованием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(основной метаболит), который в дальнейшем проходит фосфорилирование до </w:t>
      </w:r>
      <w:r w:rsidR="00DC6D2E" w:rsidRPr="004557E8">
        <w:rPr>
          <w:rFonts w:ascii="Times New Roman" w:hAnsi="Times New Roman"/>
          <w:sz w:val="24"/>
          <w:szCs w:val="24"/>
        </w:rPr>
        <w:t xml:space="preserve">активного </w:t>
      </w:r>
      <w:r w:rsidRPr="004557E8">
        <w:rPr>
          <w:rFonts w:ascii="Times New Roman" w:hAnsi="Times New Roman"/>
          <w:sz w:val="24"/>
          <w:szCs w:val="24"/>
        </w:rPr>
        <w:t xml:space="preserve">метаболита,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дифосфата</w:t>
      </w:r>
      <w:proofErr w:type="spellEnd"/>
      <w:r w:rsidRPr="004557E8">
        <w:rPr>
          <w:rFonts w:ascii="Times New Roman" w:hAnsi="Times New Roman"/>
          <w:sz w:val="24"/>
          <w:szCs w:val="24"/>
        </w:rPr>
        <w:t>.</w:t>
      </w:r>
    </w:p>
    <w:p w14:paraId="4AA66220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4557E8">
        <w:rPr>
          <w:rFonts w:ascii="Times New Roman" w:hAnsi="Times New Roman"/>
          <w:i/>
          <w:sz w:val="24"/>
          <w:szCs w:val="24"/>
        </w:rPr>
        <w:t xml:space="preserve"> </w:t>
      </w:r>
      <w:r w:rsidRPr="004557E8">
        <w:rPr>
          <w:rFonts w:ascii="Times New Roman" w:hAnsi="Times New Roman"/>
          <w:i/>
          <w:sz w:val="24"/>
          <w:szCs w:val="24"/>
          <w:lang w:val="en-US"/>
        </w:rPr>
        <w:t>vitro</w:t>
      </w:r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4557E8">
        <w:rPr>
          <w:rFonts w:ascii="Times New Roman" w:hAnsi="Times New Roman"/>
          <w:sz w:val="24"/>
          <w:szCs w:val="24"/>
        </w:rPr>
        <w:t>метаболизируется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при помощи CYP1A2, CYP2C8, CYP2C9, CYP2C19, или CYP2D6.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минимально </w:t>
      </w:r>
      <w:proofErr w:type="spellStart"/>
      <w:r w:rsidRPr="004557E8">
        <w:rPr>
          <w:rFonts w:ascii="Times New Roman" w:hAnsi="Times New Roman"/>
          <w:sz w:val="24"/>
          <w:szCs w:val="24"/>
        </w:rPr>
        <w:t>метаболизируется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при помощи CYP3A4.</w:t>
      </w:r>
    </w:p>
    <w:p w14:paraId="6C0F307A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Выведение</w:t>
      </w:r>
    </w:p>
    <w:p w14:paraId="1DC3A3C5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Не измененный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 xml:space="preserve">выводится через почки в крайне маленьких количествах с менее чем 1% дозы, выводящейся через мочу.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 xml:space="preserve">в основном </w:t>
      </w:r>
      <w:r w:rsidR="00DC6D2E" w:rsidRPr="004557E8">
        <w:rPr>
          <w:rFonts w:ascii="Times New Roman" w:hAnsi="Times New Roman"/>
          <w:sz w:val="24"/>
          <w:szCs w:val="24"/>
        </w:rPr>
        <w:t>выводится из организма в результате метаболизма с образованием</w:t>
      </w:r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r w:rsidR="00DC6D2E" w:rsidRPr="004557E8">
        <w:rPr>
          <w:rFonts w:ascii="Times New Roman" w:hAnsi="Times New Roman"/>
          <w:sz w:val="24"/>
          <w:szCs w:val="24"/>
        </w:rPr>
        <w:t>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имеют </w:t>
      </w:r>
      <w:r w:rsidR="00DC6D2E" w:rsidRPr="004557E8">
        <w:rPr>
          <w:rFonts w:ascii="Times New Roman" w:hAnsi="Times New Roman"/>
          <w:sz w:val="24"/>
          <w:szCs w:val="24"/>
        </w:rPr>
        <w:t xml:space="preserve">средний </w:t>
      </w:r>
      <w:r w:rsidRPr="004557E8">
        <w:rPr>
          <w:rFonts w:ascii="Times New Roman" w:hAnsi="Times New Roman"/>
          <w:sz w:val="24"/>
          <w:szCs w:val="24"/>
        </w:rPr>
        <w:t xml:space="preserve">период </w:t>
      </w:r>
      <w:r w:rsidR="00DC6D2E" w:rsidRPr="004557E8">
        <w:rPr>
          <w:rFonts w:ascii="Times New Roman" w:hAnsi="Times New Roman"/>
          <w:sz w:val="24"/>
          <w:szCs w:val="24"/>
        </w:rPr>
        <w:t>полувыведения</w:t>
      </w:r>
      <w:r w:rsidRPr="004557E8">
        <w:rPr>
          <w:rFonts w:ascii="Times New Roman" w:hAnsi="Times New Roman"/>
          <w:sz w:val="24"/>
          <w:szCs w:val="24"/>
        </w:rPr>
        <w:t xml:space="preserve"> </w:t>
      </w:r>
      <w:r w:rsidR="00DC6D2E" w:rsidRPr="004557E8">
        <w:rPr>
          <w:rFonts w:ascii="Times New Roman" w:hAnsi="Times New Roman"/>
          <w:sz w:val="24"/>
          <w:szCs w:val="24"/>
        </w:rPr>
        <w:t xml:space="preserve">из </w:t>
      </w:r>
      <w:r w:rsidRPr="004557E8">
        <w:rPr>
          <w:rFonts w:ascii="Times New Roman" w:hAnsi="Times New Roman"/>
          <w:sz w:val="24"/>
          <w:szCs w:val="24"/>
        </w:rPr>
        <w:t>плазм</w:t>
      </w:r>
      <w:r w:rsidR="00DC6D2E" w:rsidRPr="004557E8">
        <w:rPr>
          <w:rFonts w:ascii="Times New Roman" w:hAnsi="Times New Roman"/>
          <w:sz w:val="24"/>
          <w:szCs w:val="24"/>
        </w:rPr>
        <w:t>ы</w:t>
      </w:r>
      <w:r w:rsidRPr="004557E8">
        <w:rPr>
          <w:rFonts w:ascii="Times New Roman" w:hAnsi="Times New Roman"/>
          <w:sz w:val="24"/>
          <w:szCs w:val="24"/>
        </w:rPr>
        <w:t xml:space="preserve"> 0,51 и 32,37 часов</w:t>
      </w:r>
      <w:r w:rsidR="00DC6D2E" w:rsidRPr="004557E8">
        <w:rPr>
          <w:rFonts w:ascii="Times New Roman" w:hAnsi="Times New Roman"/>
          <w:sz w:val="24"/>
          <w:szCs w:val="24"/>
        </w:rPr>
        <w:t>,</w:t>
      </w:r>
      <w:r w:rsidRPr="004557E8">
        <w:rPr>
          <w:rFonts w:ascii="Times New Roman" w:hAnsi="Times New Roman"/>
          <w:sz w:val="24"/>
          <w:szCs w:val="24"/>
        </w:rPr>
        <w:t xml:space="preserve"> соответственно.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 xml:space="preserve">выводится из организма через почки как при помощи </w:t>
      </w:r>
      <w:proofErr w:type="spellStart"/>
      <w:r w:rsidRPr="004557E8">
        <w:rPr>
          <w:rFonts w:ascii="Times New Roman" w:hAnsi="Times New Roman"/>
          <w:sz w:val="24"/>
          <w:szCs w:val="24"/>
        </w:rPr>
        <w:t>гломерулярной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фильтрации, так и при помощи активной </w:t>
      </w:r>
      <w:proofErr w:type="spellStart"/>
      <w:r w:rsidR="00DC6D2E" w:rsidRPr="004557E8">
        <w:rPr>
          <w:rFonts w:ascii="Times New Roman" w:hAnsi="Times New Roman"/>
          <w:sz w:val="24"/>
          <w:szCs w:val="24"/>
        </w:rPr>
        <w:t>канальцевой</w:t>
      </w:r>
      <w:proofErr w:type="spellEnd"/>
      <w:r w:rsidR="00DC6D2E"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>секреции.</w:t>
      </w:r>
    </w:p>
    <w:p w14:paraId="756E8252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57E8">
        <w:rPr>
          <w:rFonts w:ascii="Times New Roman" w:hAnsi="Times New Roman"/>
          <w:i/>
          <w:iCs/>
          <w:sz w:val="24"/>
          <w:szCs w:val="24"/>
        </w:rPr>
        <w:t>Линейность/нелинейность</w:t>
      </w:r>
    </w:p>
    <w:p w14:paraId="2B8A881D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Воздействие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C27"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="000D1C27"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>пропорционально дозировке в диапазоне от 8 до 125 мг.</w:t>
      </w:r>
    </w:p>
    <w:p w14:paraId="7C9491FB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Фармакокинетические свойства в особых группах населения</w:t>
      </w:r>
    </w:p>
    <w:p w14:paraId="6AB13507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Зависимость от возраста, пола и этнического происхождения</w:t>
      </w:r>
    </w:p>
    <w:p w14:paraId="2B4C4EA5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Не было идентифицировано никакой клинических релевантной разницы для разных возрастов или видов этнического происхождения. Различия в фармакокинетических свойствах касательно пола не считаются клинически релевантными.</w:t>
      </w:r>
    </w:p>
    <w:p w14:paraId="2971E882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Пациенты с печеночной недостаточностью</w:t>
      </w:r>
    </w:p>
    <w:p w14:paraId="11F19188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У пациентов с острой печеночной недостаточностью общие концентрации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плазме ниже, чем для пациентов с нормальным функционированием печени. После корректировки на связывание с протеинами, концентрации свободного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плазме у пациентов с острой печеночной недостаточностью и нормальным функционированием печени являются сходными.</w:t>
      </w:r>
    </w:p>
    <w:p w14:paraId="7B68BAC3" w14:textId="77777777" w:rsidR="00B85D9E" w:rsidRPr="004557E8" w:rsidRDefault="00B85D9E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Почечная недостаточность</w:t>
      </w:r>
    </w:p>
    <w:p w14:paraId="7BD1B90E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557E8">
        <w:rPr>
          <w:rFonts w:ascii="Times New Roman" w:hAnsi="Times New Roman"/>
          <w:sz w:val="24"/>
          <w:szCs w:val="24"/>
        </w:rPr>
        <w:t xml:space="preserve">Не было идентифицировано никаких клинически релевантных изменений в фармакокинетике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между здоровыми пациентами и пациентами с острой почечной недостаточностью (</w:t>
      </w:r>
      <w:r w:rsidR="003F3DEB" w:rsidRPr="004557E8">
        <w:rPr>
          <w:rFonts w:ascii="Times New Roman" w:hAnsi="Times New Roman"/>
          <w:sz w:val="24"/>
          <w:szCs w:val="24"/>
        </w:rPr>
        <w:t xml:space="preserve">расчетный </w:t>
      </w:r>
      <w:r w:rsidR="00D2771B" w:rsidRPr="004557E8">
        <w:rPr>
          <w:rFonts w:ascii="Times New Roman" w:hAnsi="Times New Roman"/>
          <w:sz w:val="24"/>
          <w:szCs w:val="24"/>
        </w:rPr>
        <w:t>клиренс креатинина &gt;</w:t>
      </w:r>
      <w:r w:rsidRPr="004557E8">
        <w:rPr>
          <w:rFonts w:ascii="Times New Roman" w:hAnsi="Times New Roman"/>
          <w:sz w:val="24"/>
          <w:szCs w:val="24"/>
        </w:rPr>
        <w:t xml:space="preserve">15, но менее 30 мл/мин) в исследовании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t>(таблица 1</w:t>
      </w:r>
      <w:r w:rsidR="00A032B4" w:rsidRPr="004557E8">
        <w:rPr>
          <w:rFonts w:ascii="Times New Roman" w:hAnsi="Times New Roman"/>
          <w:sz w:val="24"/>
          <w:szCs w:val="24"/>
        </w:rPr>
        <w:t>5</w:t>
      </w:r>
      <w:r w:rsidRPr="004557E8">
        <w:rPr>
          <w:rFonts w:ascii="Times New Roman" w:hAnsi="Times New Roman"/>
          <w:sz w:val="24"/>
          <w:szCs w:val="24"/>
        </w:rPr>
        <w:t>).</w:t>
      </w:r>
      <w:r w:rsidRPr="004557E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7B555C8" w14:textId="77777777" w:rsidR="00D2771B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Воздействие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пациентов с </w:t>
      </w:r>
      <w:bookmarkStart w:id="16" w:name="_Hlk173159593"/>
      <w:r w:rsidRPr="004557E8">
        <w:rPr>
          <w:rFonts w:ascii="Times New Roman" w:hAnsi="Times New Roman"/>
          <w:sz w:val="24"/>
          <w:szCs w:val="24"/>
        </w:rPr>
        <w:t xml:space="preserve">терминальной почечной недостаточностью (ТПН) </w:t>
      </w:r>
      <w:bookmarkEnd w:id="16"/>
      <w:r w:rsidRPr="004557E8">
        <w:rPr>
          <w:rFonts w:ascii="Times New Roman" w:hAnsi="Times New Roman"/>
          <w:sz w:val="24"/>
          <w:szCs w:val="24"/>
        </w:rPr>
        <w:t xml:space="preserve">(расчетный </w:t>
      </w:r>
      <w:r w:rsidR="00D2771B" w:rsidRPr="004557E8">
        <w:rPr>
          <w:rFonts w:ascii="Times New Roman" w:hAnsi="Times New Roman"/>
          <w:sz w:val="24"/>
          <w:szCs w:val="24"/>
        </w:rPr>
        <w:t>клиренс креатинина &lt;</w:t>
      </w:r>
      <w:r w:rsidRPr="004557E8">
        <w:rPr>
          <w:rFonts w:ascii="Times New Roman" w:hAnsi="Times New Roman"/>
          <w:sz w:val="24"/>
          <w:szCs w:val="24"/>
        </w:rPr>
        <w:t>15 мл/мин) на хроническом гемодиализе, получ</w:t>
      </w:r>
      <w:r w:rsidR="00D2771B" w:rsidRPr="004557E8">
        <w:rPr>
          <w:rFonts w:ascii="Times New Roman" w:hAnsi="Times New Roman"/>
          <w:sz w:val="24"/>
          <w:szCs w:val="24"/>
        </w:rPr>
        <w:t xml:space="preserve">авших </w:t>
      </w:r>
      <w:proofErr w:type="spellStart"/>
      <w:r w:rsidR="00D2771B"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="00D2771B"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771B"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="00D2771B" w:rsidRPr="004557E8">
        <w:rPr>
          <w:rFonts w:ascii="Times New Roman" w:hAnsi="Times New Roman"/>
          <w:sz w:val="24"/>
          <w:szCs w:val="24"/>
        </w:rPr>
        <w:t xml:space="preserve"> (N=</w:t>
      </w:r>
      <w:r w:rsidRPr="004557E8">
        <w:rPr>
          <w:rFonts w:ascii="Times New Roman" w:hAnsi="Times New Roman"/>
          <w:sz w:val="24"/>
          <w:szCs w:val="24"/>
        </w:rPr>
        <w:t>5), было существенно выше, чем у пациентов с нормальной функцией почек (</w:t>
      </w:r>
      <w:r w:rsidR="003F3DEB" w:rsidRPr="004557E8">
        <w:rPr>
          <w:rFonts w:ascii="Times New Roman" w:hAnsi="Times New Roman"/>
          <w:sz w:val="24"/>
          <w:szCs w:val="24"/>
        </w:rPr>
        <w:t>таблица 15</w:t>
      </w:r>
      <w:r w:rsidRPr="004557E8">
        <w:rPr>
          <w:rFonts w:ascii="Times New Roman" w:hAnsi="Times New Roman"/>
          <w:sz w:val="24"/>
          <w:szCs w:val="24"/>
        </w:rPr>
        <w:t xml:space="preserve">). Клинически значимых различий в фармакокинетике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пациентов с ТПН, находящихся на хроническом гемодиализе, по сравнению с пациентами с нормальной функцией почек не наблюдалось.</w:t>
      </w:r>
    </w:p>
    <w:p w14:paraId="42A8B1B2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>Таблица 1</w:t>
      </w:r>
      <w:r w:rsidR="00A032B4" w:rsidRPr="004557E8">
        <w:rPr>
          <w:rFonts w:ascii="Times New Roman" w:hAnsi="Times New Roman"/>
          <w:sz w:val="24"/>
          <w:szCs w:val="24"/>
        </w:rPr>
        <w:t>5</w:t>
      </w:r>
      <w:r w:rsidRPr="004557E8">
        <w:rPr>
          <w:rFonts w:ascii="Times New Roman" w:hAnsi="Times New Roman"/>
          <w:sz w:val="24"/>
          <w:szCs w:val="24"/>
        </w:rPr>
        <w:t xml:space="preserve">: Фармакокинетика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его метаболита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пациентов с нарушением функции почек по сравнению с пациентами с нормальной функцией почек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2126"/>
        <w:gridCol w:w="3396"/>
      </w:tblGrid>
      <w:tr w:rsidR="0070177F" w:rsidRPr="004557E8" w14:paraId="6492C186" w14:textId="77777777" w:rsidTr="008E013B">
        <w:tc>
          <w:tcPr>
            <w:tcW w:w="1560" w:type="dxa"/>
            <w:shd w:val="clear" w:color="auto" w:fill="auto"/>
            <w:vAlign w:val="center"/>
          </w:tcPr>
          <w:p w14:paraId="5CB5E3E9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48F55136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AUC (</w:t>
            </w:r>
            <w:proofErr w:type="spellStart"/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мкг•час</w:t>
            </w:r>
            <w:proofErr w:type="spellEnd"/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 xml:space="preserve"> на мл)</w:t>
            </w:r>
          </w:p>
          <w:p w14:paraId="06397038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Среднее значение (CV%)</w:t>
            </w:r>
          </w:p>
        </w:tc>
      </w:tr>
      <w:tr w:rsidR="0070177F" w:rsidRPr="004557E8" w14:paraId="7CB661D9" w14:textId="77777777" w:rsidTr="008E013B">
        <w:tc>
          <w:tcPr>
            <w:tcW w:w="1560" w:type="dxa"/>
            <w:shd w:val="clear" w:color="auto" w:fill="auto"/>
            <w:vAlign w:val="center"/>
          </w:tcPr>
          <w:p w14:paraId="6D171FD2" w14:textId="77777777" w:rsidR="0070177F" w:rsidRPr="004557E8" w:rsidRDefault="0070177F" w:rsidP="008E013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Расчетный </w:t>
            </w:r>
            <w:r w:rsidR="000A2332" w:rsidRPr="004557E8">
              <w:rPr>
                <w:rFonts w:ascii="Times New Roman" w:eastAsia="SimSun" w:hAnsi="Times New Roman"/>
                <w:sz w:val="24"/>
                <w:szCs w:val="24"/>
              </w:rPr>
              <w:t>к</w:t>
            </w:r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лиренс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креатинина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B2CBBF1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Нормальная функция почек</w:t>
            </w:r>
          </w:p>
          <w:p w14:paraId="6E32E1BE" w14:textId="77777777" w:rsidR="0070177F" w:rsidRPr="004557E8" w:rsidRDefault="00D2771B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≥</w:t>
            </w:r>
            <w:r w:rsidR="0070177F" w:rsidRPr="004557E8">
              <w:rPr>
                <w:rFonts w:ascii="Times New Roman" w:eastAsia="SimSun" w:hAnsi="Times New Roman"/>
                <w:sz w:val="24"/>
                <w:szCs w:val="24"/>
              </w:rPr>
              <w:t>90 м</w:t>
            </w:r>
            <w:r w:rsidR="00246C93" w:rsidRPr="004557E8">
              <w:rPr>
                <w:rFonts w:ascii="Times New Roman" w:eastAsia="SimSun" w:hAnsi="Times New Roman"/>
                <w:sz w:val="24"/>
                <w:szCs w:val="24"/>
              </w:rPr>
              <w:t>л</w:t>
            </w:r>
            <w:r w:rsidR="0070177F"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в минуту</w:t>
            </w:r>
          </w:p>
          <w:p w14:paraId="310B2405" w14:textId="77777777" w:rsidR="0070177F" w:rsidRPr="004557E8" w:rsidRDefault="00D2771B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(N=</w:t>
            </w:r>
            <w:proofErr w:type="gramStart"/>
            <w:r w:rsidR="0070177F" w:rsidRPr="004557E8">
              <w:rPr>
                <w:rFonts w:ascii="Times New Roman" w:eastAsia="SimSun" w:hAnsi="Times New Roman"/>
                <w:sz w:val="24"/>
                <w:szCs w:val="24"/>
              </w:rPr>
              <w:t>13)</w:t>
            </w:r>
            <w:r w:rsidR="0070177F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1371A02C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Тяжелая почечная недостаточность</w:t>
            </w:r>
          </w:p>
          <w:p w14:paraId="091A6EFC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15-29 мл/мин</w:t>
            </w:r>
          </w:p>
          <w:p w14:paraId="56207976" w14:textId="77777777" w:rsidR="0070177F" w:rsidRPr="004557E8" w:rsidRDefault="00D2771B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(N=</w:t>
            </w:r>
            <w:proofErr w:type="gramStart"/>
            <w:r w:rsidR="0070177F" w:rsidRPr="004557E8">
              <w:rPr>
                <w:rFonts w:ascii="Times New Roman" w:eastAsia="SimSun" w:hAnsi="Times New Roman"/>
                <w:sz w:val="24"/>
                <w:szCs w:val="24"/>
              </w:rPr>
              <w:t>14)</w:t>
            </w:r>
            <w:r w:rsidR="0070177F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3396" w:type="dxa"/>
            <w:shd w:val="clear" w:color="auto" w:fill="auto"/>
            <w:vAlign w:val="center"/>
          </w:tcPr>
          <w:p w14:paraId="36E07B62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Терминальная стадия почечной недостаточности, находящихся на гемодиализе</w:t>
            </w:r>
          </w:p>
          <w:p w14:paraId="5CEA3E6F" w14:textId="77777777" w:rsidR="0070177F" w:rsidRPr="004557E8" w:rsidRDefault="00D2771B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&lt;</w:t>
            </w:r>
            <w:r w:rsidR="0070177F" w:rsidRPr="004557E8">
              <w:rPr>
                <w:rFonts w:ascii="Times New Roman" w:eastAsia="SimSun" w:hAnsi="Times New Roman"/>
                <w:sz w:val="24"/>
                <w:szCs w:val="24"/>
              </w:rPr>
              <w:t>15 мл/мин</w:t>
            </w:r>
          </w:p>
          <w:p w14:paraId="216A0E61" w14:textId="77777777" w:rsidR="0070177F" w:rsidRPr="004557E8" w:rsidRDefault="00D2771B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(N=</w:t>
            </w:r>
            <w:proofErr w:type="gramStart"/>
            <w:r w:rsidR="0070177F" w:rsidRPr="004557E8">
              <w:rPr>
                <w:rFonts w:ascii="Times New Roman" w:eastAsia="SimSun" w:hAnsi="Times New Roman"/>
                <w:sz w:val="24"/>
                <w:szCs w:val="24"/>
              </w:rPr>
              <w:t>5)</w:t>
            </w:r>
            <w:r w:rsidR="0070177F"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c</w:t>
            </w:r>
            <w:proofErr w:type="gramEnd"/>
          </w:p>
        </w:tc>
      </w:tr>
      <w:tr w:rsidR="0070177F" w:rsidRPr="004557E8" w14:paraId="753E2169" w14:textId="77777777" w:rsidTr="008E013B">
        <w:tc>
          <w:tcPr>
            <w:tcW w:w="1560" w:type="dxa"/>
            <w:shd w:val="clear" w:color="auto" w:fill="auto"/>
            <w:vAlign w:val="center"/>
          </w:tcPr>
          <w:p w14:paraId="7BD4AE06" w14:textId="77777777" w:rsidR="0070177F" w:rsidRPr="004557E8" w:rsidRDefault="0070177F" w:rsidP="008E013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Тенофовир</w:t>
            </w:r>
            <w:proofErr w:type="spellEnd"/>
            <w:r w:rsidRPr="004557E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алафенамид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9252779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0.27 (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49.2)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d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11681A36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0.51 (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47.3)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d</w:t>
            </w:r>
            <w:proofErr w:type="gramEnd"/>
          </w:p>
        </w:tc>
        <w:tc>
          <w:tcPr>
            <w:tcW w:w="3396" w:type="dxa"/>
            <w:shd w:val="clear" w:color="auto" w:fill="auto"/>
            <w:vAlign w:val="center"/>
          </w:tcPr>
          <w:p w14:paraId="61C24782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0.30 (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26.7)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e</w:t>
            </w:r>
            <w:proofErr w:type="gramEnd"/>
          </w:p>
        </w:tc>
      </w:tr>
      <w:tr w:rsidR="0070177F" w:rsidRPr="004557E8" w14:paraId="29713EF4" w14:textId="77777777" w:rsidTr="008E013B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B94BB84" w14:textId="77777777" w:rsidR="0070177F" w:rsidRPr="004557E8" w:rsidRDefault="0070177F" w:rsidP="008E013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Тенофовир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3EAB941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0.34 (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27.2)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d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1ED1C7A9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2.07 (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47.1)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d</w:t>
            </w:r>
            <w:proofErr w:type="gramEnd"/>
          </w:p>
        </w:tc>
        <w:tc>
          <w:tcPr>
            <w:tcW w:w="3396" w:type="dxa"/>
            <w:shd w:val="clear" w:color="auto" w:fill="auto"/>
            <w:vAlign w:val="center"/>
          </w:tcPr>
          <w:p w14:paraId="70E55816" w14:textId="77777777" w:rsidR="0070177F" w:rsidRPr="004557E8" w:rsidRDefault="0070177F" w:rsidP="008E01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557E8">
              <w:rPr>
                <w:rFonts w:ascii="Times New Roman" w:eastAsia="SimSun" w:hAnsi="Times New Roman"/>
                <w:sz w:val="24"/>
                <w:szCs w:val="24"/>
              </w:rPr>
              <w:t>18.8 (</w:t>
            </w:r>
            <w:proofErr w:type="gramStart"/>
            <w:r w:rsidRPr="004557E8">
              <w:rPr>
                <w:rFonts w:ascii="Times New Roman" w:eastAsia="SimSun" w:hAnsi="Times New Roman"/>
                <w:sz w:val="24"/>
                <w:szCs w:val="24"/>
              </w:rPr>
              <w:t>30.4)</w:t>
            </w:r>
            <w:r w:rsidRPr="004557E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f</w:t>
            </w:r>
            <w:proofErr w:type="gramEnd"/>
          </w:p>
        </w:tc>
      </w:tr>
    </w:tbl>
    <w:p w14:paraId="7888CCF6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>CV = коэффициент вариации</w:t>
      </w:r>
    </w:p>
    <w:p w14:paraId="332BEDA8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a. По методу </w:t>
      </w:r>
      <w:proofErr w:type="spellStart"/>
      <w:r w:rsidRPr="004557E8">
        <w:rPr>
          <w:rFonts w:ascii="Times New Roman" w:hAnsi="Times New Roman"/>
          <w:sz w:val="20"/>
          <w:szCs w:val="20"/>
        </w:rPr>
        <w:t>Кокрофта-Голта</w:t>
      </w:r>
      <w:proofErr w:type="spellEnd"/>
      <w:r w:rsidRPr="004557E8">
        <w:rPr>
          <w:rFonts w:ascii="Times New Roman" w:hAnsi="Times New Roman"/>
          <w:sz w:val="20"/>
          <w:szCs w:val="20"/>
        </w:rPr>
        <w:t>.</w:t>
      </w:r>
    </w:p>
    <w:p w14:paraId="37491C46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б. Фармакокинетические параметры оценивали при приеме однократной дозы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25 мг у пациентов с нормальной функцией почек и у пациентов с тяжелой почечной недостаточностью в исследовании GS-US-120-0108.</w:t>
      </w:r>
    </w:p>
    <w:p w14:paraId="0ACE85E5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c. Фармакокинетические параметры оценивали до гемодиализа после многократного введения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алафенамида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25 мг у 5 инфицированных пациентов с вирусом гепатита В </w:t>
      </w:r>
      <w:proofErr w:type="spellStart"/>
      <w:r w:rsidRPr="004557E8">
        <w:rPr>
          <w:rFonts w:ascii="Times New Roman" w:hAnsi="Times New Roman"/>
          <w:sz w:val="20"/>
          <w:szCs w:val="20"/>
        </w:rPr>
        <w:t>в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исследовании GS-US-320-4035. У данных испытуемых медиана базовой </w:t>
      </w:r>
      <w:proofErr w:type="spellStart"/>
      <w:r w:rsidRPr="004557E8">
        <w:rPr>
          <w:rFonts w:ascii="Times New Roman" w:hAnsi="Times New Roman"/>
          <w:sz w:val="20"/>
          <w:szCs w:val="20"/>
        </w:rPr>
        <w:t>рСКФ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по </w:t>
      </w:r>
      <w:proofErr w:type="spellStart"/>
      <w:r w:rsidRPr="004557E8">
        <w:rPr>
          <w:rFonts w:ascii="Times New Roman" w:hAnsi="Times New Roman"/>
          <w:sz w:val="20"/>
          <w:szCs w:val="20"/>
        </w:rPr>
        <w:t>Кокрофту-Голту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составляла 7,2 мл/мин (диапазон от 4,8 до 12,0).</w:t>
      </w:r>
    </w:p>
    <w:p w14:paraId="2FF35B37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lang w:val="en-US"/>
        </w:rPr>
        <w:t>d</w:t>
      </w:r>
      <w:r w:rsidRPr="004557E8">
        <w:rPr>
          <w:rFonts w:ascii="Times New Roman" w:hAnsi="Times New Roman"/>
          <w:sz w:val="20"/>
          <w:szCs w:val="20"/>
        </w:rPr>
        <w:t xml:space="preserve">. </w:t>
      </w:r>
      <w:r w:rsidRPr="004557E8">
        <w:rPr>
          <w:rFonts w:ascii="Times New Roman" w:hAnsi="Times New Roman"/>
          <w:sz w:val="20"/>
          <w:szCs w:val="20"/>
          <w:lang w:val="en-US"/>
        </w:rPr>
        <w:t>AUCinf</w:t>
      </w:r>
      <w:r w:rsidRPr="004557E8">
        <w:rPr>
          <w:rFonts w:ascii="Times New Roman" w:hAnsi="Times New Roman"/>
          <w:sz w:val="20"/>
          <w:szCs w:val="20"/>
        </w:rPr>
        <w:t>. – ППК, в зависимости от концентрации, от времени 0 до бесконечности</w:t>
      </w:r>
    </w:p>
    <w:p w14:paraId="25FF093A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lang w:val="en-US"/>
        </w:rPr>
        <w:t>e</w:t>
      </w:r>
      <w:r w:rsidRPr="004557E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557E8">
        <w:rPr>
          <w:rFonts w:ascii="Times New Roman" w:hAnsi="Times New Roman"/>
          <w:sz w:val="20"/>
          <w:szCs w:val="20"/>
          <w:lang w:val="en-US"/>
        </w:rPr>
        <w:t>AUClast</w:t>
      </w:r>
      <w:proofErr w:type="spellEnd"/>
      <w:r w:rsidRPr="004557E8">
        <w:rPr>
          <w:rFonts w:ascii="Times New Roman" w:hAnsi="Times New Roman"/>
          <w:sz w:val="20"/>
          <w:szCs w:val="20"/>
        </w:rPr>
        <w:t>. - – ППК от нуля до последней точки времени</w:t>
      </w:r>
    </w:p>
    <w:p w14:paraId="4411AB0B" w14:textId="77777777" w:rsidR="00D2771B" w:rsidRPr="004557E8" w:rsidRDefault="0070177F" w:rsidP="003E0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  <w:lang w:val="en-US"/>
        </w:rPr>
        <w:t>f</w:t>
      </w:r>
      <w:r w:rsidRPr="004557E8">
        <w:rPr>
          <w:rFonts w:ascii="Times New Roman" w:hAnsi="Times New Roman"/>
          <w:sz w:val="20"/>
          <w:szCs w:val="20"/>
        </w:rPr>
        <w:t xml:space="preserve">. </w:t>
      </w:r>
      <w:r w:rsidRPr="004557E8">
        <w:rPr>
          <w:rFonts w:ascii="Times New Roman" w:hAnsi="Times New Roman"/>
          <w:sz w:val="20"/>
          <w:szCs w:val="20"/>
          <w:lang w:val="en-US"/>
        </w:rPr>
        <w:t>AUCtau</w:t>
      </w:r>
      <w:r w:rsidRPr="004557E8">
        <w:rPr>
          <w:rFonts w:ascii="Times New Roman" w:hAnsi="Times New Roman"/>
          <w:sz w:val="20"/>
          <w:szCs w:val="20"/>
        </w:rPr>
        <w:t>. - ППК зависимости концентрации в плазме от времени в течение интервала дозирования</w:t>
      </w:r>
    </w:p>
    <w:p w14:paraId="74DBAEF1" w14:textId="77777777" w:rsidR="0070177F" w:rsidRPr="004557E8" w:rsidRDefault="0070177F" w:rsidP="003E01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57E8">
        <w:rPr>
          <w:rFonts w:ascii="Times New Roman" w:hAnsi="Times New Roman"/>
          <w:i/>
          <w:sz w:val="24"/>
          <w:szCs w:val="24"/>
        </w:rPr>
        <w:t>Применение у детей</w:t>
      </w:r>
    </w:p>
    <w:p w14:paraId="2AD34D9C" w14:textId="77777777" w:rsidR="00A032B4" w:rsidRPr="004557E8" w:rsidRDefault="00A032B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Фармакокинетику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его метаболита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r w:rsidR="008E013B" w:rsidRPr="004557E8">
        <w:rPr>
          <w:rFonts w:ascii="Times New Roman" w:hAnsi="Times New Roman"/>
          <w:sz w:val="24"/>
          <w:szCs w:val="24"/>
        </w:rPr>
        <w:t xml:space="preserve">в равновесном состоянии </w:t>
      </w:r>
      <w:r w:rsidRPr="004557E8">
        <w:rPr>
          <w:rFonts w:ascii="Times New Roman" w:hAnsi="Times New Roman"/>
          <w:sz w:val="24"/>
          <w:szCs w:val="24"/>
        </w:rPr>
        <w:t>оценивали у детей, инфицированных ВГВ, в возрасте от 12 до &lt;18 лет с массой тела ≥ 35 кг и от 6 до &lt;12 лет с массой тела ≥ 25 кг (таблица 16).</w:t>
      </w:r>
    </w:p>
    <w:p w14:paraId="07552F78" w14:textId="77777777" w:rsidR="00A032B4" w:rsidRPr="004557E8" w:rsidRDefault="00A032B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0AC13E" w14:textId="77777777" w:rsidR="00A032B4" w:rsidRPr="004557E8" w:rsidRDefault="00A032B4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Таблица 16. Фармакокинетика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его метаболита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детей в возрасте от 6 до </w:t>
      </w:r>
      <w:proofErr w:type="gramStart"/>
      <w:r w:rsidRPr="004557E8">
        <w:rPr>
          <w:rFonts w:ascii="Times New Roman" w:hAnsi="Times New Roman"/>
          <w:sz w:val="24"/>
          <w:szCs w:val="24"/>
        </w:rPr>
        <w:t>&lt; 18</w:t>
      </w:r>
      <w:proofErr w:type="gramEnd"/>
      <w:r w:rsidRPr="004557E8">
        <w:rPr>
          <w:rFonts w:ascii="Times New Roman" w:hAnsi="Times New Roman"/>
          <w:sz w:val="24"/>
          <w:szCs w:val="24"/>
        </w:rPr>
        <w:t xml:space="preserve"> лет и взрослых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559"/>
        <w:gridCol w:w="992"/>
        <w:gridCol w:w="1559"/>
        <w:gridCol w:w="833"/>
        <w:gridCol w:w="1429"/>
      </w:tblGrid>
      <w:tr w:rsidR="00A032B4" w:rsidRPr="004557E8" w14:paraId="4DB0D7A5" w14:textId="77777777" w:rsidTr="008E013B">
        <w:tc>
          <w:tcPr>
            <w:tcW w:w="1838" w:type="dxa"/>
            <w:vAlign w:val="center"/>
          </w:tcPr>
          <w:p w14:paraId="39A45FA2" w14:textId="77777777" w:rsidR="00A032B4" w:rsidRPr="004557E8" w:rsidRDefault="00A032B4" w:rsidP="008E01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557E8">
              <w:rPr>
                <w:b/>
                <w:bCs/>
                <w:sz w:val="24"/>
                <w:szCs w:val="24"/>
              </w:rPr>
              <w:t>Среднее значение параметра (CV%)</w:t>
            </w:r>
          </w:p>
        </w:tc>
        <w:tc>
          <w:tcPr>
            <w:tcW w:w="2410" w:type="dxa"/>
            <w:gridSpan w:val="2"/>
            <w:vAlign w:val="center"/>
          </w:tcPr>
          <w:p w14:paraId="71F5AA35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57E8">
              <w:rPr>
                <w:b/>
                <w:bCs/>
                <w:sz w:val="24"/>
                <w:szCs w:val="24"/>
              </w:rPr>
              <w:t xml:space="preserve">возраст от 6 до </w:t>
            </w:r>
            <w:proofErr w:type="gramStart"/>
            <w:r w:rsidRPr="004557E8">
              <w:rPr>
                <w:b/>
                <w:bCs/>
                <w:sz w:val="24"/>
                <w:szCs w:val="24"/>
              </w:rPr>
              <w:t>&lt; 12</w:t>
            </w:r>
            <w:proofErr w:type="gramEnd"/>
            <w:r w:rsidRPr="004557E8">
              <w:rPr>
                <w:b/>
                <w:bCs/>
                <w:sz w:val="24"/>
                <w:szCs w:val="24"/>
              </w:rPr>
              <w:t xml:space="preserve"> лет, вес</w:t>
            </w:r>
            <w:r w:rsidR="008E013B" w:rsidRPr="004557E8">
              <w:rPr>
                <w:b/>
                <w:bCs/>
                <w:sz w:val="24"/>
                <w:szCs w:val="24"/>
              </w:rPr>
              <w:t xml:space="preserve"> </w:t>
            </w:r>
            <w:r w:rsidR="008E013B" w:rsidRPr="004557E8">
              <w:rPr>
                <w:sz w:val="24"/>
                <w:szCs w:val="24"/>
              </w:rPr>
              <w:t xml:space="preserve">≥ </w:t>
            </w:r>
            <w:r w:rsidRPr="004557E8">
              <w:rPr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4557E8">
              <w:rPr>
                <w:b/>
                <w:bCs/>
                <w:sz w:val="24"/>
                <w:szCs w:val="24"/>
              </w:rPr>
              <w:t>кг</w:t>
            </w:r>
            <w:r w:rsidRPr="004557E8">
              <w:rPr>
                <w:b/>
                <w:bCs/>
                <w:sz w:val="24"/>
                <w:szCs w:val="24"/>
                <w:vertAlign w:val="superscript"/>
              </w:rPr>
              <w:t>а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788FA3B8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57E8">
              <w:rPr>
                <w:b/>
                <w:bCs/>
                <w:sz w:val="24"/>
                <w:szCs w:val="24"/>
              </w:rPr>
              <w:t xml:space="preserve">возраст от 12 до </w:t>
            </w:r>
            <w:proofErr w:type="gramStart"/>
            <w:r w:rsidRPr="004557E8">
              <w:rPr>
                <w:b/>
                <w:bCs/>
                <w:sz w:val="24"/>
                <w:szCs w:val="24"/>
              </w:rPr>
              <w:t>&lt; 18</w:t>
            </w:r>
            <w:proofErr w:type="gramEnd"/>
            <w:r w:rsidRPr="004557E8">
              <w:rPr>
                <w:b/>
                <w:bCs/>
                <w:sz w:val="24"/>
                <w:szCs w:val="24"/>
              </w:rPr>
              <w:t xml:space="preserve"> лет, вес </w:t>
            </w:r>
            <w:r w:rsidR="008E013B" w:rsidRPr="004557E8">
              <w:rPr>
                <w:sz w:val="24"/>
                <w:szCs w:val="24"/>
              </w:rPr>
              <w:t xml:space="preserve">≥ </w:t>
            </w:r>
            <w:r w:rsidRPr="004557E8">
              <w:rPr>
                <w:b/>
                <w:bCs/>
                <w:sz w:val="24"/>
                <w:szCs w:val="24"/>
              </w:rPr>
              <w:t xml:space="preserve">35 </w:t>
            </w:r>
            <w:proofErr w:type="spellStart"/>
            <w:r w:rsidRPr="004557E8">
              <w:rPr>
                <w:b/>
                <w:bCs/>
                <w:sz w:val="24"/>
                <w:szCs w:val="24"/>
              </w:rPr>
              <w:t>кг</w:t>
            </w:r>
            <w:r w:rsidRPr="004557E8">
              <w:rPr>
                <w:b/>
                <w:bCs/>
                <w:sz w:val="24"/>
                <w:szCs w:val="24"/>
                <w:vertAlign w:val="superscript"/>
              </w:rPr>
              <w:t>а</w:t>
            </w:r>
            <w:proofErr w:type="spellEnd"/>
          </w:p>
        </w:tc>
        <w:tc>
          <w:tcPr>
            <w:tcW w:w="2262" w:type="dxa"/>
            <w:gridSpan w:val="2"/>
            <w:vAlign w:val="center"/>
          </w:tcPr>
          <w:p w14:paraId="3988BC69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557E8">
              <w:rPr>
                <w:b/>
                <w:bCs/>
                <w:sz w:val="24"/>
                <w:szCs w:val="24"/>
              </w:rPr>
              <w:t>Взрослые</w:t>
            </w:r>
            <w:r w:rsidRPr="004557E8">
              <w:rPr>
                <w:b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A032B4" w:rsidRPr="004557E8" w14:paraId="741992D4" w14:textId="77777777" w:rsidTr="008E013B">
        <w:tc>
          <w:tcPr>
            <w:tcW w:w="1838" w:type="dxa"/>
            <w:vAlign w:val="center"/>
          </w:tcPr>
          <w:p w14:paraId="144DA412" w14:textId="77777777" w:rsidR="00A032B4" w:rsidRPr="004557E8" w:rsidRDefault="00A032B4" w:rsidP="008E01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9BF2D3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57E8">
              <w:rPr>
                <w:b/>
                <w:bCs/>
                <w:sz w:val="24"/>
                <w:szCs w:val="24"/>
              </w:rPr>
              <w:t>ТАФ</w:t>
            </w:r>
          </w:p>
        </w:tc>
        <w:tc>
          <w:tcPr>
            <w:tcW w:w="1559" w:type="dxa"/>
            <w:vAlign w:val="center"/>
          </w:tcPr>
          <w:p w14:paraId="56BF498A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557E8">
              <w:rPr>
                <w:b/>
                <w:bCs/>
                <w:sz w:val="24"/>
                <w:szCs w:val="24"/>
              </w:rPr>
              <w:t>Тенофовир</w:t>
            </w:r>
            <w:proofErr w:type="spellEnd"/>
          </w:p>
        </w:tc>
        <w:tc>
          <w:tcPr>
            <w:tcW w:w="992" w:type="dxa"/>
            <w:vAlign w:val="center"/>
          </w:tcPr>
          <w:p w14:paraId="03751884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57E8">
              <w:rPr>
                <w:b/>
                <w:bCs/>
                <w:sz w:val="24"/>
                <w:szCs w:val="24"/>
              </w:rPr>
              <w:t>ТАФ</w:t>
            </w:r>
          </w:p>
        </w:tc>
        <w:tc>
          <w:tcPr>
            <w:tcW w:w="1559" w:type="dxa"/>
            <w:vAlign w:val="center"/>
          </w:tcPr>
          <w:p w14:paraId="3E3A35AD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557E8">
              <w:rPr>
                <w:b/>
                <w:bCs/>
                <w:sz w:val="24"/>
                <w:szCs w:val="24"/>
              </w:rPr>
              <w:t>Тенофовир</w:t>
            </w:r>
            <w:proofErr w:type="spellEnd"/>
          </w:p>
        </w:tc>
        <w:tc>
          <w:tcPr>
            <w:tcW w:w="833" w:type="dxa"/>
            <w:vAlign w:val="center"/>
          </w:tcPr>
          <w:p w14:paraId="5A2A10C0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57E8">
              <w:rPr>
                <w:b/>
                <w:bCs/>
                <w:sz w:val="24"/>
                <w:szCs w:val="24"/>
              </w:rPr>
              <w:t>ТАФ</w:t>
            </w:r>
          </w:p>
        </w:tc>
        <w:tc>
          <w:tcPr>
            <w:tcW w:w="1429" w:type="dxa"/>
            <w:vAlign w:val="center"/>
          </w:tcPr>
          <w:p w14:paraId="1AD18CF7" w14:textId="77777777" w:rsidR="00A032B4" w:rsidRPr="004557E8" w:rsidRDefault="00A032B4" w:rsidP="008E01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557E8">
              <w:rPr>
                <w:b/>
                <w:bCs/>
                <w:sz w:val="24"/>
                <w:szCs w:val="24"/>
              </w:rPr>
              <w:t>Тенофовир</w:t>
            </w:r>
            <w:proofErr w:type="spellEnd"/>
          </w:p>
        </w:tc>
      </w:tr>
      <w:tr w:rsidR="00A032B4" w:rsidRPr="004557E8" w14:paraId="7C9327B3" w14:textId="77777777" w:rsidTr="008E013B">
        <w:tc>
          <w:tcPr>
            <w:tcW w:w="1838" w:type="dxa"/>
            <w:vAlign w:val="center"/>
          </w:tcPr>
          <w:p w14:paraId="1422CA93" w14:textId="77777777" w:rsidR="00A032B4" w:rsidRPr="004557E8" w:rsidRDefault="00A032B4" w:rsidP="008E013B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557E8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4557E8">
              <w:rPr>
                <w:b/>
                <w:bCs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4557E8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4557E8">
              <w:rPr>
                <w:b/>
                <w:bCs/>
                <w:sz w:val="24"/>
                <w:szCs w:val="24"/>
              </w:rPr>
              <w:t>мкг/мл</w:t>
            </w:r>
            <w:r w:rsidRPr="004557E8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15C2311D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0.185 (77.7)</w:t>
            </w:r>
          </w:p>
        </w:tc>
        <w:tc>
          <w:tcPr>
            <w:tcW w:w="1559" w:type="dxa"/>
            <w:vAlign w:val="center"/>
          </w:tcPr>
          <w:p w14:paraId="55E2D27E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0.017 (19.7)</w:t>
            </w:r>
          </w:p>
        </w:tc>
        <w:tc>
          <w:tcPr>
            <w:tcW w:w="992" w:type="dxa"/>
            <w:vAlign w:val="center"/>
          </w:tcPr>
          <w:p w14:paraId="79B20503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0.169 (80.9)</w:t>
            </w:r>
          </w:p>
        </w:tc>
        <w:tc>
          <w:tcPr>
            <w:tcW w:w="1559" w:type="dxa"/>
            <w:vAlign w:val="center"/>
          </w:tcPr>
          <w:p w14:paraId="3D772ABE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0.015 (27.4)</w:t>
            </w:r>
          </w:p>
        </w:tc>
        <w:tc>
          <w:tcPr>
            <w:tcW w:w="833" w:type="dxa"/>
            <w:vAlign w:val="center"/>
          </w:tcPr>
          <w:p w14:paraId="1FAF8F2C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0.178 (53.4)</w:t>
            </w:r>
          </w:p>
        </w:tc>
        <w:tc>
          <w:tcPr>
            <w:tcW w:w="1429" w:type="dxa"/>
            <w:vAlign w:val="center"/>
          </w:tcPr>
          <w:p w14:paraId="2D143DCA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0.017 (35.2)</w:t>
            </w:r>
          </w:p>
        </w:tc>
      </w:tr>
      <w:tr w:rsidR="00A032B4" w:rsidRPr="004557E8" w14:paraId="517CB2F4" w14:textId="77777777" w:rsidTr="008E013B">
        <w:tc>
          <w:tcPr>
            <w:tcW w:w="1838" w:type="dxa"/>
            <w:vAlign w:val="center"/>
          </w:tcPr>
          <w:p w14:paraId="3466FC82" w14:textId="77777777" w:rsidR="00A032B4" w:rsidRPr="004557E8" w:rsidRDefault="00A032B4" w:rsidP="008E01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4557E8">
              <w:rPr>
                <w:b/>
                <w:bCs/>
                <w:sz w:val="24"/>
                <w:szCs w:val="24"/>
              </w:rPr>
              <w:t>AUC</w:t>
            </w:r>
            <w:r w:rsidRPr="004557E8">
              <w:rPr>
                <w:b/>
                <w:bCs/>
                <w:sz w:val="24"/>
                <w:szCs w:val="24"/>
                <w:vertAlign w:val="subscript"/>
              </w:rPr>
              <w:t>tau</w:t>
            </w:r>
            <w:proofErr w:type="spellEnd"/>
            <w:r w:rsidRPr="004557E8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4557E8">
              <w:rPr>
                <w:b/>
                <w:bCs/>
                <w:sz w:val="24"/>
                <w:szCs w:val="24"/>
              </w:rPr>
              <w:t>(мкг*ч/мл)</w:t>
            </w:r>
          </w:p>
        </w:tc>
        <w:tc>
          <w:tcPr>
            <w:tcW w:w="851" w:type="dxa"/>
            <w:vAlign w:val="center"/>
          </w:tcPr>
          <w:p w14:paraId="6DF1D214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0.206 (61.3)</w:t>
            </w:r>
          </w:p>
        </w:tc>
        <w:tc>
          <w:tcPr>
            <w:tcW w:w="1559" w:type="dxa"/>
            <w:vAlign w:val="center"/>
          </w:tcPr>
          <w:p w14:paraId="711534B6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0.298 (23.1)</w:t>
            </w:r>
          </w:p>
        </w:tc>
        <w:tc>
          <w:tcPr>
            <w:tcW w:w="992" w:type="dxa"/>
            <w:vAlign w:val="center"/>
          </w:tcPr>
          <w:p w14:paraId="5594163D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0.215 (91.3)</w:t>
            </w:r>
          </w:p>
        </w:tc>
        <w:tc>
          <w:tcPr>
            <w:tcW w:w="1559" w:type="dxa"/>
            <w:vAlign w:val="center"/>
          </w:tcPr>
          <w:p w14:paraId="2D260032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0.251 (23.6)</w:t>
            </w:r>
          </w:p>
        </w:tc>
        <w:tc>
          <w:tcPr>
            <w:tcW w:w="833" w:type="dxa"/>
            <w:vAlign w:val="center"/>
          </w:tcPr>
          <w:p w14:paraId="25E2566E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0.216 (66.6)</w:t>
            </w:r>
          </w:p>
        </w:tc>
        <w:tc>
          <w:tcPr>
            <w:tcW w:w="1429" w:type="dxa"/>
            <w:vAlign w:val="center"/>
          </w:tcPr>
          <w:p w14:paraId="771A92BF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0.322 (31.5)</w:t>
            </w:r>
          </w:p>
        </w:tc>
      </w:tr>
      <w:tr w:rsidR="00A032B4" w:rsidRPr="004557E8" w14:paraId="00640932" w14:textId="77777777" w:rsidTr="008E013B">
        <w:tc>
          <w:tcPr>
            <w:tcW w:w="1838" w:type="dxa"/>
            <w:vAlign w:val="center"/>
          </w:tcPr>
          <w:p w14:paraId="37EA275D" w14:textId="77777777" w:rsidR="00A032B4" w:rsidRPr="004557E8" w:rsidRDefault="00A032B4" w:rsidP="008E01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4557E8">
              <w:rPr>
                <w:b/>
                <w:bCs/>
                <w:sz w:val="24"/>
                <w:szCs w:val="24"/>
              </w:rPr>
              <w:t>C</w:t>
            </w:r>
            <w:r w:rsidRPr="004557E8">
              <w:rPr>
                <w:b/>
                <w:bCs/>
                <w:sz w:val="24"/>
                <w:szCs w:val="24"/>
                <w:vertAlign w:val="subscript"/>
              </w:rPr>
              <w:t>trough</w:t>
            </w:r>
            <w:proofErr w:type="spellEnd"/>
            <w:r w:rsidRPr="004557E8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4557E8">
              <w:rPr>
                <w:b/>
                <w:bCs/>
                <w:sz w:val="24"/>
                <w:szCs w:val="24"/>
              </w:rPr>
              <w:t>(мкг/мл)</w:t>
            </w:r>
          </w:p>
        </w:tc>
        <w:tc>
          <w:tcPr>
            <w:tcW w:w="851" w:type="dxa"/>
            <w:vAlign w:val="center"/>
          </w:tcPr>
          <w:p w14:paraId="2CF4E3C4" w14:textId="77777777" w:rsidR="00A032B4" w:rsidRPr="004557E8" w:rsidRDefault="008E013B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Н/П</w:t>
            </w:r>
          </w:p>
        </w:tc>
        <w:tc>
          <w:tcPr>
            <w:tcW w:w="1559" w:type="dxa"/>
            <w:vAlign w:val="center"/>
          </w:tcPr>
          <w:p w14:paraId="49D2ACE5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0.010 (29.5)</w:t>
            </w:r>
          </w:p>
        </w:tc>
        <w:tc>
          <w:tcPr>
            <w:tcW w:w="992" w:type="dxa"/>
            <w:vAlign w:val="center"/>
          </w:tcPr>
          <w:p w14:paraId="323FAD1A" w14:textId="77777777" w:rsidR="00A032B4" w:rsidRPr="004557E8" w:rsidRDefault="008E013B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Н/П</w:t>
            </w:r>
          </w:p>
        </w:tc>
        <w:tc>
          <w:tcPr>
            <w:tcW w:w="1559" w:type="dxa"/>
            <w:vAlign w:val="center"/>
          </w:tcPr>
          <w:p w14:paraId="4FE0851A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0.009 (25.6)</w:t>
            </w:r>
          </w:p>
        </w:tc>
        <w:tc>
          <w:tcPr>
            <w:tcW w:w="833" w:type="dxa"/>
            <w:vAlign w:val="center"/>
          </w:tcPr>
          <w:p w14:paraId="735F1B4C" w14:textId="77777777" w:rsidR="00A032B4" w:rsidRPr="004557E8" w:rsidRDefault="008E013B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Н/П</w:t>
            </w:r>
          </w:p>
        </w:tc>
        <w:tc>
          <w:tcPr>
            <w:tcW w:w="1429" w:type="dxa"/>
            <w:vAlign w:val="center"/>
          </w:tcPr>
          <w:p w14:paraId="22A71F2F" w14:textId="77777777" w:rsidR="00A032B4" w:rsidRPr="004557E8" w:rsidRDefault="00A032B4" w:rsidP="008E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7E8">
              <w:rPr>
                <w:sz w:val="24"/>
                <w:szCs w:val="24"/>
              </w:rPr>
              <w:t>0.011 (33.0)</w:t>
            </w:r>
          </w:p>
        </w:tc>
      </w:tr>
    </w:tbl>
    <w:p w14:paraId="18C182B5" w14:textId="77777777" w:rsidR="00A032B4" w:rsidRPr="004557E8" w:rsidRDefault="00A032B4" w:rsidP="00A032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CV = коэффициент вариации; </w:t>
      </w:r>
      <w:r w:rsidR="000A004F" w:rsidRPr="004557E8">
        <w:rPr>
          <w:rFonts w:ascii="Times New Roman" w:hAnsi="Times New Roman"/>
          <w:sz w:val="20"/>
          <w:szCs w:val="20"/>
        </w:rPr>
        <w:t>ТАФ</w:t>
      </w:r>
      <w:r w:rsidRPr="004557E8">
        <w:rPr>
          <w:rFonts w:ascii="Times New Roman" w:hAnsi="Times New Roman"/>
          <w:sz w:val="20"/>
          <w:szCs w:val="20"/>
        </w:rPr>
        <w:t xml:space="preserve"> = </w:t>
      </w:r>
      <w:proofErr w:type="spellStart"/>
      <w:r w:rsidRPr="004557E8">
        <w:rPr>
          <w:rFonts w:ascii="Times New Roman" w:hAnsi="Times New Roman"/>
          <w:sz w:val="20"/>
          <w:szCs w:val="20"/>
        </w:rPr>
        <w:t>тенофовир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57E8">
        <w:rPr>
          <w:rFonts w:ascii="Times New Roman" w:hAnsi="Times New Roman"/>
          <w:sz w:val="20"/>
          <w:szCs w:val="20"/>
        </w:rPr>
        <w:t>алафенамид</w:t>
      </w:r>
      <w:proofErr w:type="spellEnd"/>
      <w:r w:rsidRPr="004557E8">
        <w:rPr>
          <w:rFonts w:ascii="Times New Roman" w:hAnsi="Times New Roman"/>
          <w:sz w:val="20"/>
          <w:szCs w:val="20"/>
        </w:rPr>
        <w:t xml:space="preserve">; </w:t>
      </w:r>
      <w:r w:rsidR="008E013B" w:rsidRPr="004557E8">
        <w:rPr>
          <w:rFonts w:ascii="Times New Roman" w:hAnsi="Times New Roman"/>
          <w:sz w:val="20"/>
          <w:szCs w:val="20"/>
        </w:rPr>
        <w:t>Н/П</w:t>
      </w:r>
      <w:r w:rsidRPr="004557E8">
        <w:rPr>
          <w:rFonts w:ascii="Times New Roman" w:hAnsi="Times New Roman"/>
          <w:sz w:val="20"/>
          <w:szCs w:val="20"/>
        </w:rPr>
        <w:t xml:space="preserve"> = неприменимо</w:t>
      </w:r>
    </w:p>
    <w:p w14:paraId="52C00E6E" w14:textId="77777777" w:rsidR="00A032B4" w:rsidRPr="004557E8" w:rsidRDefault="00A032B4" w:rsidP="00A032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a. Популяционные параметры, полученные на основе </w:t>
      </w:r>
      <w:r w:rsidR="000A004F" w:rsidRPr="004557E8">
        <w:rPr>
          <w:rFonts w:ascii="Times New Roman" w:hAnsi="Times New Roman"/>
          <w:sz w:val="20"/>
          <w:szCs w:val="20"/>
        </w:rPr>
        <w:t>ФК</w:t>
      </w:r>
      <w:r w:rsidRPr="004557E8">
        <w:rPr>
          <w:rFonts w:ascii="Times New Roman" w:hAnsi="Times New Roman"/>
          <w:sz w:val="20"/>
          <w:szCs w:val="20"/>
        </w:rPr>
        <w:t xml:space="preserve"> в исследовании 1092 (возраст от 6 до &lt; 12 лет с массой тела ≥ 25 кг, N=12; возраст от 12 до &lt; 18 лет с массой тела ≥ 35 кг, N=47).</w:t>
      </w:r>
    </w:p>
    <w:p w14:paraId="2CF66E68" w14:textId="77777777" w:rsidR="00A032B4" w:rsidRPr="004557E8" w:rsidRDefault="00A032B4" w:rsidP="00A032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7E8">
        <w:rPr>
          <w:rFonts w:ascii="Times New Roman" w:hAnsi="Times New Roman"/>
          <w:sz w:val="20"/>
          <w:szCs w:val="20"/>
        </w:rPr>
        <w:t xml:space="preserve">b. Популяционные показатели </w:t>
      </w:r>
      <w:r w:rsidR="000A004F" w:rsidRPr="004557E8">
        <w:rPr>
          <w:rFonts w:ascii="Times New Roman" w:hAnsi="Times New Roman"/>
          <w:sz w:val="20"/>
          <w:szCs w:val="20"/>
        </w:rPr>
        <w:t>ФК</w:t>
      </w:r>
      <w:r w:rsidRPr="004557E8">
        <w:rPr>
          <w:rFonts w:ascii="Times New Roman" w:hAnsi="Times New Roman"/>
          <w:sz w:val="20"/>
          <w:szCs w:val="20"/>
        </w:rPr>
        <w:t>, полученные в исследованиях 108 и 110 (</w:t>
      </w:r>
      <w:r w:rsidR="000A004F" w:rsidRPr="004557E8">
        <w:rPr>
          <w:rFonts w:ascii="Times New Roman" w:hAnsi="Times New Roman"/>
          <w:sz w:val="20"/>
          <w:szCs w:val="20"/>
        </w:rPr>
        <w:t>ТАФ</w:t>
      </w:r>
      <w:r w:rsidRPr="004557E8">
        <w:rPr>
          <w:rFonts w:ascii="Times New Roman" w:hAnsi="Times New Roman"/>
          <w:sz w:val="20"/>
          <w:szCs w:val="20"/>
        </w:rPr>
        <w:t xml:space="preserve">: N=698, </w:t>
      </w:r>
      <w:proofErr w:type="spellStart"/>
      <w:r w:rsidR="004358FD" w:rsidRPr="004557E8">
        <w:rPr>
          <w:rFonts w:ascii="Times New Roman" w:hAnsi="Times New Roman"/>
          <w:sz w:val="20"/>
          <w:szCs w:val="20"/>
        </w:rPr>
        <w:t>т</w:t>
      </w:r>
      <w:r w:rsidRPr="004557E8">
        <w:rPr>
          <w:rFonts w:ascii="Times New Roman" w:hAnsi="Times New Roman"/>
          <w:sz w:val="20"/>
          <w:szCs w:val="20"/>
        </w:rPr>
        <w:t>енофовир</w:t>
      </w:r>
      <w:proofErr w:type="spellEnd"/>
      <w:r w:rsidRPr="004557E8">
        <w:rPr>
          <w:rFonts w:ascii="Times New Roman" w:hAnsi="Times New Roman"/>
          <w:sz w:val="20"/>
          <w:szCs w:val="20"/>
        </w:rPr>
        <w:t>: N=856).</w:t>
      </w:r>
    </w:p>
    <w:p w14:paraId="04F64CAC" w14:textId="77777777" w:rsidR="00957BAF" w:rsidRPr="004557E8" w:rsidRDefault="00957BAF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8217F" w14:textId="77777777" w:rsidR="00DF3381" w:rsidRPr="004557E8" w:rsidRDefault="00253CDF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F3381"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1F59FC20" w14:textId="77777777" w:rsidR="00AC365E" w:rsidRPr="004557E8" w:rsidRDefault="00AC365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Доклинические исследования на крысах и собаках показали, что основными органами-мишенями токсичности являются кости и почки. Костная токсичность наблюдалась как снижение МПК (минеральной плотности костей) у крыс и собак при воздействии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, по крайней мере, в четыре раза большей, чем ожидаемое после введения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. Минимальная инфильтрация гистиоцитов присутствовала в глазу у собак при воздействии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примерно в 4 и 17 раз соответственно большей, чем ожидаемая после введения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>.</w:t>
      </w:r>
    </w:p>
    <w:p w14:paraId="5A2A1C2F" w14:textId="77777777" w:rsidR="00AC365E" w:rsidRPr="004557E8" w:rsidRDefault="00AC365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</w:t>
      </w:r>
      <w:r w:rsidR="00A41E32" w:rsidRPr="004557E8">
        <w:rPr>
          <w:rFonts w:ascii="Times New Roman" w:hAnsi="Times New Roman"/>
          <w:sz w:val="24"/>
          <w:szCs w:val="24"/>
        </w:rPr>
        <w:t>являлся</w:t>
      </w:r>
      <w:r w:rsidRPr="004557E8">
        <w:rPr>
          <w:rFonts w:ascii="Times New Roman" w:hAnsi="Times New Roman"/>
          <w:sz w:val="24"/>
          <w:szCs w:val="24"/>
        </w:rPr>
        <w:t xml:space="preserve"> мутагенным или </w:t>
      </w:r>
      <w:proofErr w:type="spellStart"/>
      <w:r w:rsidRPr="004557E8">
        <w:rPr>
          <w:rFonts w:ascii="Times New Roman" w:hAnsi="Times New Roman"/>
          <w:sz w:val="24"/>
          <w:szCs w:val="24"/>
        </w:rPr>
        <w:t>кластогенным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в обычных </w:t>
      </w:r>
      <w:proofErr w:type="spellStart"/>
      <w:r w:rsidRPr="004557E8">
        <w:rPr>
          <w:rFonts w:ascii="Times New Roman" w:hAnsi="Times New Roman"/>
          <w:sz w:val="24"/>
          <w:szCs w:val="24"/>
        </w:rPr>
        <w:t>генотоксических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анализах.</w:t>
      </w:r>
    </w:p>
    <w:p w14:paraId="1C8818A2" w14:textId="77777777" w:rsidR="005B7606" w:rsidRPr="004557E8" w:rsidRDefault="00AC365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Поскольку после введения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у крыс и мышей наблюдается меньшая экспозиция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по сравнению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дизопроксилом</w:t>
      </w:r>
      <w:proofErr w:type="spellEnd"/>
      <w:r w:rsidRPr="004557E8">
        <w:rPr>
          <w:rFonts w:ascii="Times New Roman" w:hAnsi="Times New Roman"/>
          <w:sz w:val="24"/>
          <w:szCs w:val="24"/>
        </w:rPr>
        <w:t>, исследования канцерогенности и пери</w:t>
      </w:r>
      <w:r w:rsidR="00C06E34" w:rsidRPr="004557E8">
        <w:rPr>
          <w:rFonts w:ascii="Times New Roman" w:hAnsi="Times New Roman"/>
          <w:sz w:val="24"/>
          <w:szCs w:val="24"/>
        </w:rPr>
        <w:t>-</w:t>
      </w:r>
      <w:r w:rsidR="00F01BBC" w:rsidRPr="004557E8">
        <w:rPr>
          <w:rFonts w:ascii="Times New Roman" w:hAnsi="Times New Roman"/>
          <w:sz w:val="24"/>
          <w:szCs w:val="24"/>
        </w:rPr>
        <w:t xml:space="preserve"> и </w:t>
      </w:r>
      <w:r w:rsidRPr="004557E8">
        <w:rPr>
          <w:rFonts w:ascii="Times New Roman" w:hAnsi="Times New Roman"/>
          <w:sz w:val="24"/>
          <w:szCs w:val="24"/>
        </w:rPr>
        <w:t xml:space="preserve">постнатальное исследование на крысах проводились только с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дизопроксилом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. В традиционных исследованиях </w:t>
      </w:r>
      <w:r w:rsidRPr="004557E8">
        <w:rPr>
          <w:rFonts w:ascii="Times New Roman" w:hAnsi="Times New Roman"/>
          <w:sz w:val="24"/>
          <w:szCs w:val="24"/>
        </w:rPr>
        <w:lastRenderedPageBreak/>
        <w:t xml:space="preserve">канцерогенного потенциала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(в виде </w:t>
      </w:r>
      <w:proofErr w:type="spellStart"/>
      <w:r w:rsidRPr="004557E8">
        <w:rPr>
          <w:rFonts w:ascii="Times New Roman" w:hAnsi="Times New Roman"/>
          <w:sz w:val="24"/>
          <w:szCs w:val="24"/>
        </w:rPr>
        <w:t>фумарата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) и токсичности для репродукции и развития у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(в виде </w:t>
      </w:r>
      <w:proofErr w:type="spellStart"/>
      <w:r w:rsidRPr="004557E8">
        <w:rPr>
          <w:rFonts w:ascii="Times New Roman" w:hAnsi="Times New Roman"/>
          <w:sz w:val="24"/>
          <w:szCs w:val="24"/>
        </w:rPr>
        <w:t>фумарата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) или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алафенамида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не было выявлено особой опасности для человека. Исследования репродуктивной токсичности на крысах и кроликах не показали влияния на спаривание, фертильность, беременность или параметры плода. Однако </w:t>
      </w:r>
      <w:proofErr w:type="spellStart"/>
      <w:r w:rsidRPr="004557E8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7E8">
        <w:rPr>
          <w:rFonts w:ascii="Times New Roman" w:hAnsi="Times New Roman"/>
          <w:sz w:val="24"/>
          <w:szCs w:val="24"/>
        </w:rPr>
        <w:t>дизопроксил</w:t>
      </w:r>
      <w:proofErr w:type="spellEnd"/>
      <w:r w:rsidRPr="004557E8">
        <w:rPr>
          <w:rFonts w:ascii="Times New Roman" w:hAnsi="Times New Roman"/>
          <w:sz w:val="24"/>
          <w:szCs w:val="24"/>
        </w:rPr>
        <w:t xml:space="preserve"> снижал индекс жизнеспособности и вес детенышей в исследовании пери-постнатальной токсичности при дозах, токсичных для матери. Долгосрочное исследование пероральной канцерогенности на мышах показало низкую частоту возникновения опухолей двенадцатиперстной кишки, что, вероятно, связано с высокими локальными концентрациями в желудочно-кишечном тракте при высокой дозе 600 мг/кг/день. Механизм образования опухолей у мышей и потенциальное значение для человека неясны.</w:t>
      </w:r>
    </w:p>
    <w:p w14:paraId="2C25C55C" w14:textId="77777777" w:rsidR="000A2332" w:rsidRPr="004557E8" w:rsidRDefault="000A2332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13157" w14:textId="77777777" w:rsidR="00DF3381" w:rsidRPr="004557E8" w:rsidRDefault="00DF3381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6E9EA50E" w14:textId="77777777" w:rsidR="005921EA" w:rsidRPr="004557E8" w:rsidRDefault="00253CDF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F3381"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572EEABE" w14:textId="77777777" w:rsidR="0065447A" w:rsidRPr="004557E8" w:rsidRDefault="0065447A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17" w:name="_Hlk145406768"/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Целлюлоза микрокристаллическая (</w:t>
      </w:r>
      <w:proofErr w:type="spellStart"/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Farmacel</w:t>
      </w:r>
      <w:proofErr w:type="spellEnd"/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102)</w:t>
      </w:r>
      <w:r w:rsidR="00190E44" w:rsidRPr="004557E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3DF06127" w14:textId="77777777" w:rsidR="0065447A" w:rsidRPr="004557E8" w:rsidRDefault="00190E44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л</w:t>
      </w:r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актозы моногидрат (</w:t>
      </w:r>
      <w:proofErr w:type="spellStart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Super</w:t>
      </w:r>
      <w:proofErr w:type="spellEnd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tab</w:t>
      </w:r>
      <w:proofErr w:type="spellEnd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30 GR)</w:t>
      </w: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49CBDEBF" w14:textId="77777777" w:rsidR="0065447A" w:rsidRPr="004557E8" w:rsidRDefault="00190E44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н</w:t>
      </w:r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атрия </w:t>
      </w:r>
      <w:proofErr w:type="spellStart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кроскармеллоза</w:t>
      </w:r>
      <w:proofErr w:type="spellEnd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spellStart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Ac-Di-Sol</w:t>
      </w:r>
      <w:proofErr w:type="spellEnd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)</w:t>
      </w: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2D2D2D77" w14:textId="77777777" w:rsidR="0065447A" w:rsidRPr="004557E8" w:rsidRDefault="00190E44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агния </w:t>
      </w:r>
      <w:proofErr w:type="spellStart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стеарат</w:t>
      </w:r>
      <w:proofErr w:type="spellEnd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spellStart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Ligamed</w:t>
      </w:r>
      <w:proofErr w:type="spellEnd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MF-2-F)</w:t>
      </w: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3935ED2C" w14:textId="77777777" w:rsidR="0065447A" w:rsidRPr="004557E8" w:rsidRDefault="00190E44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i/>
          <w:sz w:val="24"/>
          <w:szCs w:val="24"/>
          <w:lang w:eastAsia="ru-RU"/>
        </w:rPr>
        <w:t>п</w:t>
      </w:r>
      <w:r w:rsidR="0065447A" w:rsidRPr="004557E8">
        <w:rPr>
          <w:rFonts w:ascii="Times New Roman" w:eastAsia="TimesNewRomanPSMT" w:hAnsi="Times New Roman"/>
          <w:i/>
          <w:sz w:val="24"/>
          <w:szCs w:val="24"/>
          <w:lang w:eastAsia="ru-RU"/>
        </w:rPr>
        <w:t>леночное покрытие</w:t>
      </w:r>
      <w:r w:rsidR="003035C3" w:rsidRPr="004557E8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65447A" w:rsidRPr="004557E8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Опадрай</w:t>
      </w:r>
      <w:proofErr w:type="spellEnd"/>
      <w:r w:rsidR="0065447A" w:rsidRPr="004557E8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 xml:space="preserve"> II белый 85F580019</w:t>
      </w:r>
      <w:r w:rsidR="003035C3" w:rsidRPr="004557E8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:</w:t>
      </w:r>
      <w:r w:rsidR="00BA4D71" w:rsidRPr="004557E8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</w:t>
      </w:r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спирт поливиниловый частично гидролизованный (Е 1203)</w:t>
      </w:r>
      <w:r w:rsidR="00BA4D71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тальк (Е 533b)</w:t>
      </w:r>
      <w:r w:rsidR="00BA4D71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proofErr w:type="spellStart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макрогол</w:t>
      </w:r>
      <w:proofErr w:type="spellEnd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/</w:t>
      </w:r>
      <w:proofErr w:type="spellStart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полиэтиленгликоль</w:t>
      </w:r>
      <w:proofErr w:type="spellEnd"/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 (Е 1521)</w:t>
      </w:r>
      <w:r w:rsidR="00BA4D71"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r w:rsidR="0065447A" w:rsidRPr="004557E8">
        <w:rPr>
          <w:rFonts w:ascii="Times New Roman" w:eastAsia="TimesNewRomanPSMT" w:hAnsi="Times New Roman"/>
          <w:sz w:val="24"/>
          <w:szCs w:val="24"/>
          <w:lang w:eastAsia="ru-RU"/>
        </w:rPr>
        <w:t>титана диоксид (Е 171)</w:t>
      </w:r>
    </w:p>
    <w:bookmarkEnd w:id="17"/>
    <w:p w14:paraId="64D87AA3" w14:textId="77777777" w:rsidR="00DF3381" w:rsidRPr="004557E8" w:rsidRDefault="00253CDF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DF3381"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5FE5AE42" w14:textId="77777777" w:rsidR="00215CBB" w:rsidRPr="004557E8" w:rsidRDefault="0065447A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14:paraId="095AFB2A" w14:textId="77777777" w:rsidR="009128A3" w:rsidRPr="004557E8" w:rsidRDefault="009128A3" w:rsidP="003E01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4557E8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4557E8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557E8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02621DEE" w14:textId="77777777" w:rsidR="00CE03ED" w:rsidRPr="004557E8" w:rsidRDefault="00FC5630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bookmarkStart w:id="18" w:name="_Hlk145407068"/>
      <w:r w:rsidRPr="004557E8">
        <w:rPr>
          <w:rFonts w:ascii="Times New Roman" w:hAnsi="Times New Roman"/>
          <w:sz w:val="24"/>
          <w:szCs w:val="24"/>
          <w:lang w:bidi="ru-RU"/>
        </w:rPr>
        <w:t>3</w:t>
      </w:r>
      <w:r w:rsidR="003F65FE" w:rsidRPr="004557E8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bookmarkEnd w:id="18"/>
    <w:p w14:paraId="0922D243" w14:textId="77777777" w:rsidR="00CE03ED" w:rsidRPr="004557E8" w:rsidRDefault="00CE03ED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17E8FA8F" w14:textId="77777777" w:rsidR="00632571" w:rsidRPr="004557E8" w:rsidRDefault="00632571" w:rsidP="003E0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4557E8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5FE0FC7B" w14:textId="77777777" w:rsidR="003F65FE" w:rsidRPr="004557E8" w:rsidRDefault="003F65FE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9" w:name="_Hlk145407081"/>
      <w:r w:rsidRPr="004557E8">
        <w:rPr>
          <w:rFonts w:ascii="Times New Roman" w:hAnsi="Times New Roman"/>
          <w:sz w:val="24"/>
          <w:szCs w:val="24"/>
        </w:rPr>
        <w:t>В сухом, защищенном от света месте, при температуре не выше 30</w:t>
      </w:r>
      <w:r w:rsidR="00253CDF" w:rsidRPr="004557E8">
        <w:rPr>
          <w:rFonts w:ascii="Times New Roman" w:hAnsi="Times New Roman"/>
          <w:sz w:val="24"/>
          <w:szCs w:val="24"/>
        </w:rPr>
        <w:t xml:space="preserve"> </w:t>
      </w:r>
      <w:r w:rsidRPr="004557E8">
        <w:rPr>
          <w:rFonts w:ascii="Times New Roman" w:hAnsi="Times New Roman"/>
          <w:sz w:val="24"/>
          <w:szCs w:val="24"/>
        </w:rPr>
        <w:sym w:font="Symbol" w:char="F0B0"/>
      </w:r>
      <w:r w:rsidRPr="004557E8">
        <w:rPr>
          <w:rFonts w:ascii="Times New Roman" w:hAnsi="Times New Roman"/>
          <w:sz w:val="24"/>
          <w:szCs w:val="24"/>
        </w:rPr>
        <w:t>С.</w:t>
      </w:r>
    </w:p>
    <w:bookmarkEnd w:id="19"/>
    <w:p w14:paraId="5542E2A5" w14:textId="77777777" w:rsidR="00632571" w:rsidRPr="004557E8" w:rsidRDefault="00632571" w:rsidP="003E0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7E8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20" w:name="2175220289"/>
    </w:p>
    <w:bookmarkEnd w:id="20"/>
    <w:p w14:paraId="01FDC1F1" w14:textId="77777777" w:rsidR="00B90A1E" w:rsidRPr="004557E8" w:rsidRDefault="00EC480E" w:rsidP="003E01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7F05E089" w14:textId="77777777" w:rsidR="00BA4D71" w:rsidRPr="004557E8" w:rsidRDefault="00BA4D71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21" w:name="_Hlk52981350"/>
      <w:bookmarkStart w:id="22" w:name="_Hlk145407048"/>
      <w:r w:rsidRPr="004557E8">
        <w:rPr>
          <w:rFonts w:ascii="Times New Roman" w:eastAsia="Microsoft Sans Serif" w:hAnsi="Times New Roman"/>
          <w:sz w:val="24"/>
          <w:szCs w:val="24"/>
          <w:lang w:eastAsia="ru-RU" w:bidi="ru-RU"/>
        </w:rPr>
        <w:t>По 30 таблеток помещают в полиэтиленовый контейнер высокой плотности. Во флаконе содержится поглотитель влаги силикагель.</w:t>
      </w:r>
    </w:p>
    <w:p w14:paraId="1F83EB80" w14:textId="77777777" w:rsidR="00BA4D71" w:rsidRPr="004557E8" w:rsidRDefault="00BA4D71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b/>
          <w:sz w:val="24"/>
          <w:szCs w:val="24"/>
          <w:lang w:eastAsia="ru-RU" w:bidi="ru-RU"/>
        </w:rPr>
      </w:pPr>
      <w:r w:rsidRPr="004557E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На контейнер прикрепляют этикетку </w:t>
      </w:r>
      <w:proofErr w:type="spellStart"/>
      <w:r w:rsidRPr="004557E8">
        <w:rPr>
          <w:rFonts w:ascii="Times New Roman" w:eastAsia="Microsoft Sans Serif" w:hAnsi="Times New Roman"/>
          <w:sz w:val="24"/>
          <w:szCs w:val="24"/>
          <w:lang w:eastAsia="ru-RU" w:bidi="ru-RU"/>
        </w:rPr>
        <w:t>самоклеющуюся</w:t>
      </w:r>
      <w:proofErr w:type="spellEnd"/>
      <w:r w:rsidRPr="004557E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и инструкцию по медицинскому применению на казахском и русском языках.</w:t>
      </w:r>
      <w:bookmarkEnd w:id="21"/>
    </w:p>
    <w:bookmarkEnd w:id="22"/>
    <w:p w14:paraId="22EE3E21" w14:textId="77777777" w:rsidR="00B90A1E" w:rsidRPr="004557E8" w:rsidRDefault="00B90A1E" w:rsidP="003E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557E8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4557E8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28D24D69" w14:textId="77777777" w:rsidR="00BA4D71" w:rsidRPr="004557E8" w:rsidRDefault="00BA4D71" w:rsidP="003E017A">
      <w:pPr>
        <w:tabs>
          <w:tab w:val="left" w:pos="7371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557E8">
        <w:rPr>
          <w:rFonts w:ascii="Times New Roman" w:eastAsia="Microsoft Sans Serif" w:hAnsi="Times New Roman"/>
          <w:sz w:val="24"/>
          <w:szCs w:val="24"/>
          <w:lang w:eastAsia="ru-RU" w:bidi="ru-RU"/>
        </w:rPr>
        <w:t>Нет особых требований к утилизации.</w:t>
      </w:r>
    </w:p>
    <w:p w14:paraId="26F06B52" w14:textId="77777777" w:rsidR="00BA4D71" w:rsidRPr="004557E8" w:rsidRDefault="00BA4D71" w:rsidP="003E017A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57E8">
        <w:rPr>
          <w:rFonts w:ascii="Times New Roman" w:eastAsia="Times New Roman" w:hAnsi="Times New Roman"/>
          <w:sz w:val="24"/>
          <w:szCs w:val="24"/>
          <w:lang w:eastAsia="pl-PL"/>
        </w:rPr>
        <w:t>Весь оставшийся лекарственный препарат и отходы следует уничтожить в установленном порядке.</w:t>
      </w:r>
    </w:p>
    <w:p w14:paraId="7051E8C6" w14:textId="77777777" w:rsidR="00724DB0" w:rsidRPr="004557E8" w:rsidRDefault="004200EA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57E8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4557E8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4557E8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4557E8">
        <w:rPr>
          <w:rFonts w:ascii="Times New Roman" w:hAnsi="Times New Roman"/>
          <w:b/>
          <w:bCs/>
          <w:sz w:val="24"/>
          <w:szCs w:val="24"/>
        </w:rPr>
        <w:t>а</w:t>
      </w:r>
      <w:r w:rsidRPr="004557E8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4557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5BF8C8" w14:textId="77777777" w:rsidR="00D041C3" w:rsidRPr="004557E8" w:rsidRDefault="00724DB0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557E8">
        <w:rPr>
          <w:rFonts w:ascii="Times New Roman" w:hAnsi="Times New Roman"/>
          <w:bCs/>
          <w:sz w:val="24"/>
          <w:szCs w:val="24"/>
        </w:rPr>
        <w:t>По рецепт</w:t>
      </w:r>
      <w:r w:rsidR="0098271C" w:rsidRPr="004557E8">
        <w:rPr>
          <w:rFonts w:ascii="Times New Roman" w:hAnsi="Times New Roman"/>
          <w:bCs/>
          <w:sz w:val="24"/>
          <w:szCs w:val="24"/>
        </w:rPr>
        <w:t>у</w:t>
      </w:r>
    </w:p>
    <w:p w14:paraId="1063C615" w14:textId="77777777" w:rsidR="00641E90" w:rsidRPr="004557E8" w:rsidRDefault="00641E90" w:rsidP="003E0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B2DAA9" w14:textId="77777777" w:rsidR="00120934" w:rsidRPr="004557E8" w:rsidRDefault="008407EF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455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0E7B66BB" w14:textId="77777777" w:rsidR="00BA4D71" w:rsidRPr="004557E8" w:rsidRDefault="00BA4D71" w:rsidP="003E017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</w:pPr>
      <w:bookmarkStart w:id="23" w:name="_Hlk145407104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>Laurus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 xml:space="preserve"> 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>Labs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 xml:space="preserve"> 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>Limited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 xml:space="preserve">, </w:t>
      </w:r>
    </w:p>
    <w:p w14:paraId="2F20C58A" w14:textId="77777777" w:rsidR="00BA4D71" w:rsidRPr="004557E8" w:rsidRDefault="004E22B4" w:rsidP="003E017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</w:pP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 xml:space="preserve">Unit-II, Plot No. 19, 20 &amp; 21, Western Sector, APSEZ, </w:t>
      </w:r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>Gurajapalem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 xml:space="preserve"> Village, </w:t>
      </w:r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>Rambilli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 xml:space="preserve"> Mandal, </w:t>
      </w:r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>Anakapalli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 xml:space="preserve"> District- 531011, Andhra Pradesh</w:t>
      </w:r>
      <w:r w:rsidR="00BA4D71"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 xml:space="preserve">, </w:t>
      </w:r>
      <w:proofErr w:type="spellStart"/>
      <w:r w:rsidR="00BA4D71"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>Индия</w:t>
      </w:r>
      <w:proofErr w:type="spellEnd"/>
      <w:r w:rsidR="00BA4D71" w:rsidRPr="004557E8">
        <w:rPr>
          <w:rFonts w:ascii="Times New Roman" w:eastAsia="Microsoft Sans Serif" w:hAnsi="Times New Roman"/>
          <w:bCs/>
          <w:iCs/>
          <w:sz w:val="24"/>
          <w:szCs w:val="24"/>
          <w:lang w:val="en-US" w:eastAsia="ru-RU" w:bidi="ru-RU"/>
        </w:rPr>
        <w:t>.</w:t>
      </w:r>
    </w:p>
    <w:p w14:paraId="1746FC0D" w14:textId="77777777" w:rsidR="00BA4D71" w:rsidRPr="004557E8" w:rsidRDefault="00BA4D71" w:rsidP="003E017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val="kk-KZ" w:eastAsia="ru-RU" w:bidi="ru-RU"/>
        </w:rPr>
      </w:pPr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 xml:space="preserve">Тел. +914039804333/23420500/501, электронный адрес </w:t>
      </w:r>
      <w:hyperlink r:id="rId9" w:history="1"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val="en-US" w:eastAsia="ru-RU" w:bidi="ru-RU"/>
          </w:rPr>
          <w:t>info</w:t>
        </w:r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eastAsia="ru-RU" w:bidi="ru-RU"/>
          </w:rPr>
          <w:t>@</w:t>
        </w:r>
        <w:proofErr w:type="spellStart"/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val="en-US" w:eastAsia="ru-RU" w:bidi="ru-RU"/>
          </w:rPr>
          <w:t>lauruslabs</w:t>
        </w:r>
        <w:proofErr w:type="spellEnd"/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eastAsia="ru-RU" w:bidi="ru-RU"/>
          </w:rPr>
          <w:t>.</w:t>
        </w:r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val="en-US" w:eastAsia="ru-RU" w:bidi="ru-RU"/>
          </w:rPr>
          <w:t>com</w:t>
        </w:r>
      </w:hyperlink>
    </w:p>
    <w:bookmarkEnd w:id="23"/>
    <w:p w14:paraId="19404C0D" w14:textId="77777777" w:rsidR="002B593D" w:rsidRPr="004557E8" w:rsidRDefault="002B593D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2B25395" w14:textId="77777777" w:rsidR="00593F7B" w:rsidRPr="004557E8" w:rsidRDefault="00253CDF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7.1 </w:t>
      </w:r>
      <w:r w:rsidR="00593F7B" w:rsidRPr="004557E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ПРЕДСТАВИТЕЛЬ ДЕРЖАТЕЛЯ РЕГИСТРАЦИОННОГО УДОСТОВЕРЕНИЯ</w:t>
      </w:r>
    </w:p>
    <w:p w14:paraId="1E3D5233" w14:textId="77777777" w:rsidR="00913039" w:rsidRPr="004557E8" w:rsidRDefault="00913039" w:rsidP="003E017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</w:pPr>
      <w:bookmarkStart w:id="24" w:name="_Hlk145407134"/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lastRenderedPageBreak/>
        <w:t>Претензии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 xml:space="preserve"> </w:t>
      </w:r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>потребителей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 xml:space="preserve"> направлять по адресу:</w:t>
      </w:r>
    </w:p>
    <w:p w14:paraId="3187248D" w14:textId="77777777" w:rsidR="00BA4D71" w:rsidRPr="004557E8" w:rsidRDefault="00BA4D71" w:rsidP="003E017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val="de-DE" w:eastAsia="ru-RU" w:bidi="ru-RU"/>
        </w:rPr>
      </w:pP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>ТОО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de-DE" w:eastAsia="ru-RU" w:bidi="ru-RU"/>
        </w:rPr>
        <w:t xml:space="preserve"> </w:t>
      </w:r>
      <w:r w:rsidR="00A123F4"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>«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de-DE" w:eastAsia="ru-RU" w:bidi="ru-RU"/>
        </w:rPr>
        <w:t>Rogers Pharma</w:t>
      </w:r>
      <w:r w:rsidR="00A123F4"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>»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de-DE" w:eastAsia="ru-RU" w:bidi="ru-RU"/>
        </w:rPr>
        <w:t xml:space="preserve"> </w:t>
      </w:r>
    </w:p>
    <w:p w14:paraId="28920DA4" w14:textId="77777777" w:rsidR="00BA4D71" w:rsidRPr="004557E8" w:rsidRDefault="00BA4D71" w:rsidP="003E017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</w:pP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>Казахстан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de-DE" w:eastAsia="ru-RU" w:bidi="ru-RU"/>
        </w:rPr>
        <w:t xml:space="preserve">, 050043, 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>г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de-DE" w:eastAsia="ru-RU" w:bidi="ru-RU"/>
        </w:rPr>
        <w:t xml:space="preserve">. </w:t>
      </w:r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>Алматы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de-DE" w:eastAsia="ru-RU" w:bidi="ru-RU"/>
        </w:rPr>
        <w:t xml:space="preserve">, </w:t>
      </w:r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uk-UA" w:eastAsia="ru-RU" w:bidi="ru-RU"/>
        </w:rPr>
        <w:t>мкн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val="de-DE" w:eastAsia="ru-RU" w:bidi="ru-RU"/>
        </w:rPr>
        <w:t xml:space="preserve">. </w:t>
      </w:r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>Мирас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 xml:space="preserve">, 157, </w:t>
      </w:r>
      <w:proofErr w:type="spellStart"/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>н.п</w:t>
      </w:r>
      <w:proofErr w:type="spellEnd"/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 xml:space="preserve">. 819. </w:t>
      </w:r>
    </w:p>
    <w:p w14:paraId="06220CF2" w14:textId="77777777" w:rsidR="00BA4D71" w:rsidRPr="004557E8" w:rsidRDefault="00BA4D71" w:rsidP="003E017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</w:pPr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 xml:space="preserve">Тел. (727) 311-81-96/97, </w:t>
      </w:r>
      <w:r w:rsidR="007F2213"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>электронный адрес</w:t>
      </w:r>
      <w:r w:rsidRPr="004557E8">
        <w:rPr>
          <w:rFonts w:ascii="Times New Roman" w:eastAsia="Microsoft Sans Serif" w:hAnsi="Times New Roman"/>
          <w:bCs/>
          <w:iCs/>
          <w:sz w:val="24"/>
          <w:szCs w:val="24"/>
          <w:lang w:eastAsia="ru-RU" w:bidi="ru-RU"/>
        </w:rPr>
        <w:t xml:space="preserve">: </w:t>
      </w:r>
      <w:hyperlink r:id="rId10" w:history="1"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val="en-US" w:eastAsia="ru-RU" w:bidi="ru-RU"/>
          </w:rPr>
          <w:t>office</w:t>
        </w:r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eastAsia="ru-RU" w:bidi="ru-RU"/>
          </w:rPr>
          <w:t>.</w:t>
        </w:r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val="en-US" w:eastAsia="ru-RU" w:bidi="ru-RU"/>
          </w:rPr>
          <w:t>secretary</w:t>
        </w:r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eastAsia="ru-RU" w:bidi="ru-RU"/>
          </w:rPr>
          <w:t>@</w:t>
        </w:r>
        <w:proofErr w:type="spellStart"/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val="en-US" w:eastAsia="ru-RU" w:bidi="ru-RU"/>
          </w:rPr>
          <w:t>rogersgroup</w:t>
        </w:r>
        <w:proofErr w:type="spellEnd"/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eastAsia="ru-RU" w:bidi="ru-RU"/>
          </w:rPr>
          <w:t>.</w:t>
        </w:r>
        <w:r w:rsidRPr="004557E8">
          <w:rPr>
            <w:rStyle w:val="af1"/>
            <w:rFonts w:ascii="Times New Roman" w:eastAsia="Microsoft Sans Serif" w:hAnsi="Times New Roman"/>
            <w:bCs/>
            <w:iCs/>
            <w:sz w:val="24"/>
            <w:szCs w:val="24"/>
            <w:lang w:val="en-US" w:eastAsia="ru-RU" w:bidi="ru-RU"/>
          </w:rPr>
          <w:t>in</w:t>
        </w:r>
      </w:hyperlink>
    </w:p>
    <w:bookmarkEnd w:id="24"/>
    <w:p w14:paraId="63575483" w14:textId="77777777" w:rsidR="00350791" w:rsidRPr="004557E8" w:rsidRDefault="00350791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521310" w14:textId="77777777" w:rsidR="002511DF" w:rsidRPr="004557E8" w:rsidRDefault="002511DF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6FB20EBF" w14:textId="77777777" w:rsidR="002F5E56" w:rsidRPr="004557E8" w:rsidRDefault="002F5E56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РК-ЛС-</w:t>
      </w:r>
      <w:bookmarkStart w:id="25" w:name="_Hlk145422844"/>
      <w:r w:rsidRPr="004557E8">
        <w:rPr>
          <w:rFonts w:ascii="Times New Roman" w:eastAsia="Times New Roman" w:hAnsi="Times New Roman"/>
          <w:bCs/>
          <w:sz w:val="24"/>
          <w:szCs w:val="24"/>
          <w:lang w:eastAsia="ru-RU"/>
        </w:rPr>
        <w:t>5№025725</w:t>
      </w:r>
      <w:bookmarkEnd w:id="25"/>
    </w:p>
    <w:p w14:paraId="1CECAF99" w14:textId="77777777" w:rsidR="00215CBB" w:rsidRPr="004557E8" w:rsidRDefault="00215CBB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F193DF3" w14:textId="77777777" w:rsidR="002511DF" w:rsidRPr="004557E8" w:rsidRDefault="002511DF" w:rsidP="003E01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557E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466A640D" w14:textId="77777777" w:rsidR="00BA4D71" w:rsidRPr="004557E8" w:rsidRDefault="002F5E56" w:rsidP="003E01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4557E8">
        <w:rPr>
          <w:rFonts w:eastAsia="Microsoft Sans Serif"/>
          <w:lang w:bidi="ru-RU"/>
        </w:rPr>
        <w:t>12.04.2022</w:t>
      </w:r>
    </w:p>
    <w:p w14:paraId="7A8D1937" w14:textId="77777777" w:rsidR="002F5E56" w:rsidRPr="004557E8" w:rsidRDefault="002F5E56" w:rsidP="003E01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120D52A9" w14:textId="77777777" w:rsidR="00DF47EB" w:rsidRPr="004557E8" w:rsidRDefault="00DF47EB" w:rsidP="003E017A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4557E8">
        <w:rPr>
          <w:rFonts w:ascii="Times New Roman" w:hAnsi="Times New Roman"/>
          <w:b/>
          <w:sz w:val="24"/>
          <w:szCs w:val="24"/>
        </w:rPr>
        <w:t xml:space="preserve">10. </w:t>
      </w:r>
      <w:r w:rsidRPr="004557E8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2428E4A7" w14:textId="77777777" w:rsidR="00BA4D71" w:rsidRPr="004557E8" w:rsidRDefault="00BA4D71" w:rsidP="003E017A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4FD8AA8A" w14:textId="77777777" w:rsidR="00B91443" w:rsidRPr="003E017A" w:rsidRDefault="00B91443" w:rsidP="003E017A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4557E8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4557E8">
          <w:rPr>
            <w:rStyle w:val="af1"/>
            <w:rFonts w:ascii="Times New Roman" w:hAnsi="Times New Roman"/>
            <w:sz w:val="24"/>
            <w:szCs w:val="24"/>
            <w:lang w:val="en-US"/>
          </w:rPr>
          <w:t>http</w:t>
        </w:r>
        <w:r w:rsidRPr="004557E8">
          <w:rPr>
            <w:rStyle w:val="af1"/>
            <w:rFonts w:ascii="Times New Roman" w:hAnsi="Times New Roman"/>
            <w:sz w:val="24"/>
            <w:szCs w:val="24"/>
          </w:rPr>
          <w:t>://</w:t>
        </w:r>
        <w:r w:rsidRPr="004557E8">
          <w:rPr>
            <w:rStyle w:val="af1"/>
            <w:rFonts w:ascii="Times New Roman" w:hAnsi="Times New Roman"/>
            <w:sz w:val="24"/>
            <w:szCs w:val="24"/>
            <w:lang w:val="en-US"/>
          </w:rPr>
          <w:t>www</w:t>
        </w:r>
        <w:r w:rsidRPr="004557E8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Pr="004557E8">
          <w:rPr>
            <w:rStyle w:val="af1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4557E8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Pr="004557E8">
          <w:rPr>
            <w:rStyle w:val="af1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3E017A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3E017A" w:rsidSect="003E017A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9F1C" w14:textId="77777777" w:rsidR="00853B87" w:rsidRDefault="00853B87" w:rsidP="00D275FC">
      <w:pPr>
        <w:spacing w:after="0" w:line="240" w:lineRule="auto"/>
      </w:pPr>
      <w:r>
        <w:separator/>
      </w:r>
    </w:p>
  </w:endnote>
  <w:endnote w:type="continuationSeparator" w:id="0">
    <w:p w14:paraId="6F3608C6" w14:textId="77777777" w:rsidR="00853B87" w:rsidRDefault="00853B87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5B55" w14:textId="77777777" w:rsidR="00853B87" w:rsidRDefault="00853B87" w:rsidP="00D275FC">
      <w:pPr>
        <w:spacing w:after="0" w:line="240" w:lineRule="auto"/>
      </w:pPr>
      <w:r>
        <w:separator/>
      </w:r>
    </w:p>
  </w:footnote>
  <w:footnote w:type="continuationSeparator" w:id="0">
    <w:p w14:paraId="576126E7" w14:textId="77777777" w:rsidR="00853B87" w:rsidRDefault="00853B87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2821" w14:textId="77777777" w:rsidR="00F26EE2" w:rsidRDefault="00F26EE2">
    <w:pPr>
      <w:pStyle w:val="af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346394" wp14:editId="49DD05F3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3A054F" w14:textId="77777777" w:rsidR="00F26EE2" w:rsidRPr="00D275FC" w:rsidRDefault="00F26EE2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4639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3F3A054F" w14:textId="77777777" w:rsidR="00F26EE2" w:rsidRPr="00D275FC" w:rsidRDefault="00F26EE2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FFFFFF7C"/>
    <w:multiLevelType w:val="singleLevel"/>
    <w:tmpl w:val="9A94C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CA5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383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6A49B6"/>
    <w:lvl w:ilvl="0">
      <w:start w:val="1"/>
      <w:numFmt w:val="decimal"/>
      <w:pStyle w:val="EMEAstyle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787B50"/>
    <w:lvl w:ilvl="0">
      <w:start w:val="1"/>
      <w:numFmt w:val="bullet"/>
      <w:pStyle w:val="BodyTextInden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02D882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5643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6E2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7489D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F811F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4277AF3"/>
    <w:multiLevelType w:val="singleLevel"/>
    <w:tmpl w:val="FCACE244"/>
    <w:lvl w:ilvl="0">
      <w:start w:val="1"/>
      <w:numFmt w:val="upperLetter"/>
      <w:pStyle w:val="EMEAStyle20"/>
      <w:lvlText w:val="%1."/>
      <w:legacy w:legacy="1" w:legacySpace="0" w:legacyIndent="360"/>
      <w:lvlJc w:val="left"/>
      <w:pPr>
        <w:ind w:left="1495" w:hanging="360"/>
      </w:pPr>
      <w:rPr>
        <w:rFonts w:cs="Times New Roman"/>
      </w:rPr>
    </w:lvl>
  </w:abstractNum>
  <w:abstractNum w:abstractNumId="12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C6F37"/>
    <w:multiLevelType w:val="hybridMultilevel"/>
    <w:tmpl w:val="300A5460"/>
    <w:lvl w:ilvl="0" w:tplc="FFFFFFFF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41609"/>
    <w:multiLevelType w:val="hybridMultilevel"/>
    <w:tmpl w:val="1E5AABE8"/>
    <w:lvl w:ilvl="0" w:tplc="FFFFFFFF">
      <w:start w:val="1"/>
      <w:numFmt w:val="decimal"/>
      <w:pStyle w:val="4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D459B"/>
    <w:multiLevelType w:val="hybridMultilevel"/>
    <w:tmpl w:val="30140030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4071E"/>
    <w:multiLevelType w:val="singleLevel"/>
    <w:tmpl w:val="06D2F918"/>
    <w:lvl w:ilvl="0">
      <w:start w:val="1"/>
      <w:numFmt w:val="decimal"/>
      <w:pStyle w:val="3"/>
      <w:lvlText w:val="%1."/>
      <w:lvlJc w:val="left"/>
      <w:pPr>
        <w:tabs>
          <w:tab w:val="num" w:pos="1680"/>
        </w:tabs>
        <w:ind w:left="1680" w:hanging="560"/>
      </w:pPr>
      <w:rPr>
        <w:rFonts w:ascii="Times New Roman" w:hAnsi="Times New Roman" w:cs="Times New Roman"/>
        <w:b w:val="0"/>
        <w:i w:val="0"/>
        <w:caps w:val="0"/>
        <w:sz w:val="22"/>
        <w:u w:val="none"/>
        <w:vertAlign w:val="baseline"/>
      </w:rPr>
    </w:lvl>
  </w:abstractNum>
  <w:abstractNum w:abstractNumId="28" w15:restartNumberingAfterBreak="0">
    <w:nsid w:val="4ED74CDE"/>
    <w:multiLevelType w:val="hybridMultilevel"/>
    <w:tmpl w:val="5A666CE4"/>
    <w:lvl w:ilvl="0" w:tplc="FFFFFFFF">
      <w:start w:val="1"/>
      <w:numFmt w:val="bullet"/>
      <w:pStyle w:val="Bullets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91FEE"/>
    <w:multiLevelType w:val="hybridMultilevel"/>
    <w:tmpl w:val="B016C176"/>
    <w:lvl w:ilvl="0" w:tplc="FFFFFFFF">
      <w:start w:val="1"/>
      <w:numFmt w:val="bullet"/>
      <w:pStyle w:val="a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23F66"/>
    <w:multiLevelType w:val="hybridMultilevel"/>
    <w:tmpl w:val="BEAC6A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14338"/>
    <w:multiLevelType w:val="multilevel"/>
    <w:tmpl w:val="02F25B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D38A0"/>
    <w:multiLevelType w:val="singleLevel"/>
    <w:tmpl w:val="98E89D6A"/>
    <w:lvl w:ilvl="0">
      <w:start w:val="1"/>
      <w:numFmt w:val="lowerLetter"/>
      <w:pStyle w:val="ListLetter3"/>
      <w:lvlText w:val="%1."/>
      <w:lvlJc w:val="left"/>
      <w:pPr>
        <w:tabs>
          <w:tab w:val="num" w:pos="1680"/>
        </w:tabs>
        <w:ind w:left="1680" w:hanging="5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7" w15:restartNumberingAfterBreak="0">
    <w:nsid w:val="5C823DEC"/>
    <w:multiLevelType w:val="singleLevel"/>
    <w:tmpl w:val="A7922E50"/>
    <w:lvl w:ilvl="0">
      <w:start w:val="1"/>
      <w:numFmt w:val="lowerLetter"/>
      <w:pStyle w:val="ListLetter2"/>
      <w:lvlText w:val="%1."/>
      <w:lvlJc w:val="left"/>
      <w:pPr>
        <w:tabs>
          <w:tab w:val="num" w:pos="1120"/>
        </w:tabs>
        <w:ind w:left="1120" w:hanging="5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CF15BF"/>
    <w:multiLevelType w:val="hybridMultilevel"/>
    <w:tmpl w:val="08D42EA2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90B43"/>
    <w:multiLevelType w:val="singleLevel"/>
    <w:tmpl w:val="3B162898"/>
    <w:lvl w:ilvl="0">
      <w:start w:val="1"/>
      <w:numFmt w:val="lowerLetter"/>
      <w:pStyle w:val="TableFootnoteLetter"/>
      <w:lvlText w:val="%1"/>
      <w:lvlJc w:val="left"/>
      <w:pPr>
        <w:tabs>
          <w:tab w:val="num" w:pos="560"/>
        </w:tabs>
        <w:ind w:left="560" w:hanging="560"/>
      </w:pPr>
      <w:rPr>
        <w:rFonts w:ascii="Times New Roman" w:hAnsi="Times New Roman" w:cs="Times New Roman" w:hint="default"/>
        <w:b w:val="0"/>
        <w:i w:val="0"/>
        <w:caps w:val="0"/>
        <w:sz w:val="18"/>
        <w:szCs w:val="18"/>
        <w:u w:val="none"/>
        <w:vertAlign w:val="superscript"/>
      </w:rPr>
    </w:lvl>
  </w:abstractNum>
  <w:abstractNum w:abstractNumId="46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4"/>
  </w:num>
  <w:num w:numId="4">
    <w:abstractNumId w:val="40"/>
  </w:num>
  <w:num w:numId="5">
    <w:abstractNumId w:val="47"/>
  </w:num>
  <w:num w:numId="6">
    <w:abstractNumId w:val="17"/>
  </w:num>
  <w:num w:numId="7">
    <w:abstractNumId w:val="44"/>
  </w:num>
  <w:num w:numId="8">
    <w:abstractNumId w:val="20"/>
  </w:num>
  <w:num w:numId="9">
    <w:abstractNumId w:val="35"/>
  </w:num>
  <w:num w:numId="10">
    <w:abstractNumId w:val="21"/>
  </w:num>
  <w:num w:numId="11">
    <w:abstractNumId w:val="33"/>
  </w:num>
  <w:num w:numId="12">
    <w:abstractNumId w:val="39"/>
  </w:num>
  <w:num w:numId="13">
    <w:abstractNumId w:val="42"/>
  </w:num>
  <w:num w:numId="14">
    <w:abstractNumId w:val="25"/>
  </w:num>
  <w:num w:numId="15">
    <w:abstractNumId w:val="12"/>
  </w:num>
  <w:num w:numId="16">
    <w:abstractNumId w:val="46"/>
  </w:num>
  <w:num w:numId="17">
    <w:abstractNumId w:val="30"/>
  </w:num>
  <w:num w:numId="18">
    <w:abstractNumId w:val="29"/>
  </w:num>
  <w:num w:numId="19">
    <w:abstractNumId w:val="19"/>
  </w:num>
  <w:num w:numId="20">
    <w:abstractNumId w:val="13"/>
  </w:num>
  <w:num w:numId="21">
    <w:abstractNumId w:val="23"/>
  </w:num>
  <w:num w:numId="22">
    <w:abstractNumId w:val="16"/>
  </w:num>
  <w:num w:numId="23">
    <w:abstractNumId w:val="43"/>
  </w:num>
  <w:num w:numId="24">
    <w:abstractNumId w:val="24"/>
  </w:num>
  <w:num w:numId="25">
    <w:abstractNumId w:val="10"/>
  </w:num>
  <w:num w:numId="26">
    <w:abstractNumId w:val="32"/>
  </w:num>
  <w:num w:numId="27">
    <w:abstractNumId w:val="41"/>
  </w:num>
  <w:num w:numId="28">
    <w:abstractNumId w:val="26"/>
  </w:num>
  <w:num w:numId="29">
    <w:abstractNumId w:val="34"/>
  </w:num>
  <w:num w:numId="30">
    <w:abstractNumId w:val="3"/>
  </w:num>
  <w:num w:numId="31">
    <w:abstractNumId w:val="8"/>
  </w:num>
  <w:num w:numId="32">
    <w:abstractNumId w:val="2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"/>
  </w:num>
  <w:num w:numId="39">
    <w:abstractNumId w:val="0"/>
  </w:num>
  <w:num w:numId="40">
    <w:abstractNumId w:val="22"/>
  </w:num>
  <w:num w:numId="41">
    <w:abstractNumId w:val="11"/>
  </w:num>
  <w:num w:numId="42">
    <w:abstractNumId w:val="31"/>
  </w:num>
  <w:num w:numId="43">
    <w:abstractNumId w:val="18"/>
  </w:num>
  <w:num w:numId="44">
    <w:abstractNumId w:val="28"/>
  </w:num>
  <w:num w:numId="45">
    <w:abstractNumId w:val="45"/>
  </w:num>
  <w:num w:numId="46">
    <w:abstractNumId w:val="27"/>
  </w:num>
  <w:num w:numId="47">
    <w:abstractNumId w:val="3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7171"/>
    <w:rsid w:val="0002049D"/>
    <w:rsid w:val="000229E0"/>
    <w:rsid w:val="0002350F"/>
    <w:rsid w:val="000264BB"/>
    <w:rsid w:val="00026A9C"/>
    <w:rsid w:val="00030C7F"/>
    <w:rsid w:val="00031826"/>
    <w:rsid w:val="00033FC1"/>
    <w:rsid w:val="00042999"/>
    <w:rsid w:val="00047C28"/>
    <w:rsid w:val="0005238D"/>
    <w:rsid w:val="000633A9"/>
    <w:rsid w:val="000667D2"/>
    <w:rsid w:val="0006766F"/>
    <w:rsid w:val="0007249C"/>
    <w:rsid w:val="00074B61"/>
    <w:rsid w:val="00080B38"/>
    <w:rsid w:val="0008196F"/>
    <w:rsid w:val="00084D43"/>
    <w:rsid w:val="000852A1"/>
    <w:rsid w:val="000972E6"/>
    <w:rsid w:val="000A004F"/>
    <w:rsid w:val="000A0D71"/>
    <w:rsid w:val="000A103C"/>
    <w:rsid w:val="000A15B0"/>
    <w:rsid w:val="000A2332"/>
    <w:rsid w:val="000A272B"/>
    <w:rsid w:val="000C2C4B"/>
    <w:rsid w:val="000C3EBE"/>
    <w:rsid w:val="000C4C48"/>
    <w:rsid w:val="000D184E"/>
    <w:rsid w:val="000D1C27"/>
    <w:rsid w:val="000D1EF2"/>
    <w:rsid w:val="000D457D"/>
    <w:rsid w:val="000D4A54"/>
    <w:rsid w:val="000D4E00"/>
    <w:rsid w:val="000D79C7"/>
    <w:rsid w:val="000E01AB"/>
    <w:rsid w:val="000E153C"/>
    <w:rsid w:val="000E3634"/>
    <w:rsid w:val="000E49F0"/>
    <w:rsid w:val="000E4D1F"/>
    <w:rsid w:val="000E5C3A"/>
    <w:rsid w:val="000E6126"/>
    <w:rsid w:val="000F067B"/>
    <w:rsid w:val="00100406"/>
    <w:rsid w:val="0010658A"/>
    <w:rsid w:val="00107A8A"/>
    <w:rsid w:val="00111788"/>
    <w:rsid w:val="00111B12"/>
    <w:rsid w:val="00114545"/>
    <w:rsid w:val="00117D3B"/>
    <w:rsid w:val="00120934"/>
    <w:rsid w:val="00121228"/>
    <w:rsid w:val="00123B15"/>
    <w:rsid w:val="00123DB5"/>
    <w:rsid w:val="00125232"/>
    <w:rsid w:val="00127471"/>
    <w:rsid w:val="00132B9A"/>
    <w:rsid w:val="001368AE"/>
    <w:rsid w:val="00140D23"/>
    <w:rsid w:val="00141AD8"/>
    <w:rsid w:val="00144CCD"/>
    <w:rsid w:val="00144DF9"/>
    <w:rsid w:val="0014699B"/>
    <w:rsid w:val="0014739A"/>
    <w:rsid w:val="0015103A"/>
    <w:rsid w:val="0015490C"/>
    <w:rsid w:val="00155437"/>
    <w:rsid w:val="00155F74"/>
    <w:rsid w:val="001573E2"/>
    <w:rsid w:val="0016278D"/>
    <w:rsid w:val="00164E5D"/>
    <w:rsid w:val="001667E4"/>
    <w:rsid w:val="00177F5A"/>
    <w:rsid w:val="001802E7"/>
    <w:rsid w:val="001872CE"/>
    <w:rsid w:val="00190E44"/>
    <w:rsid w:val="001937AD"/>
    <w:rsid w:val="0019486F"/>
    <w:rsid w:val="001977D2"/>
    <w:rsid w:val="00197F14"/>
    <w:rsid w:val="001A237B"/>
    <w:rsid w:val="001A2CB2"/>
    <w:rsid w:val="001A3A84"/>
    <w:rsid w:val="001B06A5"/>
    <w:rsid w:val="001B6AEC"/>
    <w:rsid w:val="001D0B84"/>
    <w:rsid w:val="001D6DEB"/>
    <w:rsid w:val="001E429D"/>
    <w:rsid w:val="001E5E2A"/>
    <w:rsid w:val="001E6F4C"/>
    <w:rsid w:val="001F16AA"/>
    <w:rsid w:val="001F4AC0"/>
    <w:rsid w:val="001F6514"/>
    <w:rsid w:val="00200F3B"/>
    <w:rsid w:val="00203355"/>
    <w:rsid w:val="0020414E"/>
    <w:rsid w:val="002045D4"/>
    <w:rsid w:val="0021050E"/>
    <w:rsid w:val="00211005"/>
    <w:rsid w:val="0021309A"/>
    <w:rsid w:val="00215CBB"/>
    <w:rsid w:val="00217D41"/>
    <w:rsid w:val="002222A9"/>
    <w:rsid w:val="00222CA6"/>
    <w:rsid w:val="00232642"/>
    <w:rsid w:val="00237697"/>
    <w:rsid w:val="002410EA"/>
    <w:rsid w:val="00246C93"/>
    <w:rsid w:val="00250EDB"/>
    <w:rsid w:val="002511DF"/>
    <w:rsid w:val="00253209"/>
    <w:rsid w:val="00253CDF"/>
    <w:rsid w:val="00256E10"/>
    <w:rsid w:val="00260413"/>
    <w:rsid w:val="00260EBC"/>
    <w:rsid w:val="00261924"/>
    <w:rsid w:val="0026368B"/>
    <w:rsid w:val="00264710"/>
    <w:rsid w:val="00264A6E"/>
    <w:rsid w:val="00267567"/>
    <w:rsid w:val="00270B0A"/>
    <w:rsid w:val="00275EFA"/>
    <w:rsid w:val="00280121"/>
    <w:rsid w:val="00281FBE"/>
    <w:rsid w:val="002828C7"/>
    <w:rsid w:val="00283E8B"/>
    <w:rsid w:val="0028470F"/>
    <w:rsid w:val="00290D2E"/>
    <w:rsid w:val="00292715"/>
    <w:rsid w:val="00294D55"/>
    <w:rsid w:val="002A591C"/>
    <w:rsid w:val="002A6F65"/>
    <w:rsid w:val="002B3E68"/>
    <w:rsid w:val="002B407A"/>
    <w:rsid w:val="002B593D"/>
    <w:rsid w:val="002C10E1"/>
    <w:rsid w:val="002C15EB"/>
    <w:rsid w:val="002C1660"/>
    <w:rsid w:val="002C35A2"/>
    <w:rsid w:val="002C5345"/>
    <w:rsid w:val="002C65A7"/>
    <w:rsid w:val="002D56B7"/>
    <w:rsid w:val="002E04B7"/>
    <w:rsid w:val="002E0BAD"/>
    <w:rsid w:val="002F04F2"/>
    <w:rsid w:val="002F4A14"/>
    <w:rsid w:val="002F5E56"/>
    <w:rsid w:val="003035C3"/>
    <w:rsid w:val="003043BF"/>
    <w:rsid w:val="003134E6"/>
    <w:rsid w:val="00320073"/>
    <w:rsid w:val="00321A4D"/>
    <w:rsid w:val="00323700"/>
    <w:rsid w:val="003262DF"/>
    <w:rsid w:val="00331C67"/>
    <w:rsid w:val="00332951"/>
    <w:rsid w:val="003335BB"/>
    <w:rsid w:val="003408EE"/>
    <w:rsid w:val="0034682B"/>
    <w:rsid w:val="00350791"/>
    <w:rsid w:val="00356237"/>
    <w:rsid w:val="00356C0D"/>
    <w:rsid w:val="003602F9"/>
    <w:rsid w:val="0036059E"/>
    <w:rsid w:val="0036288F"/>
    <w:rsid w:val="00365B10"/>
    <w:rsid w:val="00367BA7"/>
    <w:rsid w:val="00372082"/>
    <w:rsid w:val="00375EE5"/>
    <w:rsid w:val="003761C0"/>
    <w:rsid w:val="00381140"/>
    <w:rsid w:val="003812B2"/>
    <w:rsid w:val="00383CDB"/>
    <w:rsid w:val="00384EFD"/>
    <w:rsid w:val="0038595A"/>
    <w:rsid w:val="0038794E"/>
    <w:rsid w:val="003879F9"/>
    <w:rsid w:val="00391862"/>
    <w:rsid w:val="00396A88"/>
    <w:rsid w:val="003976C7"/>
    <w:rsid w:val="003A035E"/>
    <w:rsid w:val="003A55D3"/>
    <w:rsid w:val="003A577F"/>
    <w:rsid w:val="003B0285"/>
    <w:rsid w:val="003B15A1"/>
    <w:rsid w:val="003B40D5"/>
    <w:rsid w:val="003B786A"/>
    <w:rsid w:val="003C07E3"/>
    <w:rsid w:val="003C2770"/>
    <w:rsid w:val="003C4281"/>
    <w:rsid w:val="003C659E"/>
    <w:rsid w:val="003D7780"/>
    <w:rsid w:val="003E017A"/>
    <w:rsid w:val="003E13CF"/>
    <w:rsid w:val="003E4F5E"/>
    <w:rsid w:val="003E7597"/>
    <w:rsid w:val="003F1D2C"/>
    <w:rsid w:val="003F3DEB"/>
    <w:rsid w:val="003F5344"/>
    <w:rsid w:val="003F65FE"/>
    <w:rsid w:val="003F7EDC"/>
    <w:rsid w:val="004001DF"/>
    <w:rsid w:val="00404548"/>
    <w:rsid w:val="00407C65"/>
    <w:rsid w:val="00407DD8"/>
    <w:rsid w:val="0041162E"/>
    <w:rsid w:val="004125D8"/>
    <w:rsid w:val="00413234"/>
    <w:rsid w:val="004138CB"/>
    <w:rsid w:val="00416507"/>
    <w:rsid w:val="004200EA"/>
    <w:rsid w:val="00423E80"/>
    <w:rsid w:val="00424983"/>
    <w:rsid w:val="0042786D"/>
    <w:rsid w:val="00433C62"/>
    <w:rsid w:val="00435800"/>
    <w:rsid w:val="004358FD"/>
    <w:rsid w:val="004369CF"/>
    <w:rsid w:val="004528E1"/>
    <w:rsid w:val="00454BF7"/>
    <w:rsid w:val="004557E8"/>
    <w:rsid w:val="00456F01"/>
    <w:rsid w:val="00466E86"/>
    <w:rsid w:val="00472EF5"/>
    <w:rsid w:val="00474FDD"/>
    <w:rsid w:val="0048687C"/>
    <w:rsid w:val="0049318D"/>
    <w:rsid w:val="004A31B4"/>
    <w:rsid w:val="004A7038"/>
    <w:rsid w:val="004B5AB9"/>
    <w:rsid w:val="004C1922"/>
    <w:rsid w:val="004C462F"/>
    <w:rsid w:val="004C6613"/>
    <w:rsid w:val="004C6C03"/>
    <w:rsid w:val="004D49E9"/>
    <w:rsid w:val="004E22B4"/>
    <w:rsid w:val="004E3287"/>
    <w:rsid w:val="004E7DFE"/>
    <w:rsid w:val="004F28D8"/>
    <w:rsid w:val="004F45AC"/>
    <w:rsid w:val="004F65A4"/>
    <w:rsid w:val="00501657"/>
    <w:rsid w:val="00506C9D"/>
    <w:rsid w:val="005071DA"/>
    <w:rsid w:val="00507581"/>
    <w:rsid w:val="00510DB7"/>
    <w:rsid w:val="00511923"/>
    <w:rsid w:val="005202B2"/>
    <w:rsid w:val="00523D82"/>
    <w:rsid w:val="00531239"/>
    <w:rsid w:val="00531CA2"/>
    <w:rsid w:val="00541A00"/>
    <w:rsid w:val="005444B2"/>
    <w:rsid w:val="00546519"/>
    <w:rsid w:val="00552F31"/>
    <w:rsid w:val="00552F8B"/>
    <w:rsid w:val="00561FE7"/>
    <w:rsid w:val="005647FF"/>
    <w:rsid w:val="00566737"/>
    <w:rsid w:val="00566D07"/>
    <w:rsid w:val="00567153"/>
    <w:rsid w:val="00574956"/>
    <w:rsid w:val="00575348"/>
    <w:rsid w:val="00584EA7"/>
    <w:rsid w:val="005869C5"/>
    <w:rsid w:val="005921EA"/>
    <w:rsid w:val="005924F5"/>
    <w:rsid w:val="00593F7B"/>
    <w:rsid w:val="005948F0"/>
    <w:rsid w:val="00594C13"/>
    <w:rsid w:val="005A079E"/>
    <w:rsid w:val="005A3C81"/>
    <w:rsid w:val="005A5680"/>
    <w:rsid w:val="005A6639"/>
    <w:rsid w:val="005A6914"/>
    <w:rsid w:val="005B1712"/>
    <w:rsid w:val="005B3FFE"/>
    <w:rsid w:val="005B7606"/>
    <w:rsid w:val="005C1519"/>
    <w:rsid w:val="005C1C4E"/>
    <w:rsid w:val="005C2D2F"/>
    <w:rsid w:val="005C4994"/>
    <w:rsid w:val="005C4A16"/>
    <w:rsid w:val="005D49BC"/>
    <w:rsid w:val="005D66F3"/>
    <w:rsid w:val="005D68C6"/>
    <w:rsid w:val="005D7EE3"/>
    <w:rsid w:val="005E0E3A"/>
    <w:rsid w:val="005E50DE"/>
    <w:rsid w:val="005E7569"/>
    <w:rsid w:val="005E76DA"/>
    <w:rsid w:val="005F7097"/>
    <w:rsid w:val="0060364A"/>
    <w:rsid w:val="00604AAE"/>
    <w:rsid w:val="00604FC8"/>
    <w:rsid w:val="006079B6"/>
    <w:rsid w:val="00612734"/>
    <w:rsid w:val="00616837"/>
    <w:rsid w:val="00617843"/>
    <w:rsid w:val="00620F34"/>
    <w:rsid w:val="00624C1B"/>
    <w:rsid w:val="00625471"/>
    <w:rsid w:val="0062661D"/>
    <w:rsid w:val="00627853"/>
    <w:rsid w:val="00632571"/>
    <w:rsid w:val="00634141"/>
    <w:rsid w:val="00634D0C"/>
    <w:rsid w:val="00641E90"/>
    <w:rsid w:val="00646EFE"/>
    <w:rsid w:val="0065148D"/>
    <w:rsid w:val="00652BCE"/>
    <w:rsid w:val="00652E29"/>
    <w:rsid w:val="00653617"/>
    <w:rsid w:val="0065447A"/>
    <w:rsid w:val="006573DC"/>
    <w:rsid w:val="00666A68"/>
    <w:rsid w:val="0067136B"/>
    <w:rsid w:val="00674992"/>
    <w:rsid w:val="00675F26"/>
    <w:rsid w:val="006824F8"/>
    <w:rsid w:val="00691208"/>
    <w:rsid w:val="006964E8"/>
    <w:rsid w:val="006A23C4"/>
    <w:rsid w:val="006A702E"/>
    <w:rsid w:val="006B0C07"/>
    <w:rsid w:val="006B0D0C"/>
    <w:rsid w:val="006B1523"/>
    <w:rsid w:val="006B1751"/>
    <w:rsid w:val="006B7A90"/>
    <w:rsid w:val="006C3780"/>
    <w:rsid w:val="006C56B0"/>
    <w:rsid w:val="006C5F38"/>
    <w:rsid w:val="006D4AE0"/>
    <w:rsid w:val="006D5986"/>
    <w:rsid w:val="006D7D5A"/>
    <w:rsid w:val="006E04F7"/>
    <w:rsid w:val="006E4305"/>
    <w:rsid w:val="006F11FE"/>
    <w:rsid w:val="006F3D34"/>
    <w:rsid w:val="006F5763"/>
    <w:rsid w:val="0070016D"/>
    <w:rsid w:val="0070101B"/>
    <w:rsid w:val="0070177F"/>
    <w:rsid w:val="00704BAB"/>
    <w:rsid w:val="007104D1"/>
    <w:rsid w:val="007135A6"/>
    <w:rsid w:val="00716E8E"/>
    <w:rsid w:val="00724071"/>
    <w:rsid w:val="00724DB0"/>
    <w:rsid w:val="00725BD2"/>
    <w:rsid w:val="00726BD3"/>
    <w:rsid w:val="007278BD"/>
    <w:rsid w:val="0073005B"/>
    <w:rsid w:val="00730461"/>
    <w:rsid w:val="00733A73"/>
    <w:rsid w:val="00734B83"/>
    <w:rsid w:val="00746FF2"/>
    <w:rsid w:val="007479AE"/>
    <w:rsid w:val="007544F0"/>
    <w:rsid w:val="00761133"/>
    <w:rsid w:val="00764E84"/>
    <w:rsid w:val="007761D4"/>
    <w:rsid w:val="007762F8"/>
    <w:rsid w:val="00776CF4"/>
    <w:rsid w:val="00783520"/>
    <w:rsid w:val="00785365"/>
    <w:rsid w:val="0078568D"/>
    <w:rsid w:val="007A02D3"/>
    <w:rsid w:val="007A18B1"/>
    <w:rsid w:val="007B011E"/>
    <w:rsid w:val="007B0551"/>
    <w:rsid w:val="007B44D6"/>
    <w:rsid w:val="007C055A"/>
    <w:rsid w:val="007C1693"/>
    <w:rsid w:val="007C2DEF"/>
    <w:rsid w:val="007D0E84"/>
    <w:rsid w:val="007D681B"/>
    <w:rsid w:val="007E020D"/>
    <w:rsid w:val="007E12A0"/>
    <w:rsid w:val="007E1D85"/>
    <w:rsid w:val="007E1EE6"/>
    <w:rsid w:val="007F2213"/>
    <w:rsid w:val="00803517"/>
    <w:rsid w:val="00804A48"/>
    <w:rsid w:val="008106A7"/>
    <w:rsid w:val="0081154A"/>
    <w:rsid w:val="0081242A"/>
    <w:rsid w:val="00814DFC"/>
    <w:rsid w:val="008157FD"/>
    <w:rsid w:val="008201FB"/>
    <w:rsid w:val="00820B36"/>
    <w:rsid w:val="00822C09"/>
    <w:rsid w:val="00827BB2"/>
    <w:rsid w:val="008329DA"/>
    <w:rsid w:val="00832A7E"/>
    <w:rsid w:val="008330E7"/>
    <w:rsid w:val="008353A4"/>
    <w:rsid w:val="0083585A"/>
    <w:rsid w:val="008407EF"/>
    <w:rsid w:val="008418F5"/>
    <w:rsid w:val="00843BC5"/>
    <w:rsid w:val="008443FD"/>
    <w:rsid w:val="008451C8"/>
    <w:rsid w:val="00847154"/>
    <w:rsid w:val="0085202D"/>
    <w:rsid w:val="00852348"/>
    <w:rsid w:val="00853B87"/>
    <w:rsid w:val="00855857"/>
    <w:rsid w:val="008617DE"/>
    <w:rsid w:val="00862FA8"/>
    <w:rsid w:val="0086657B"/>
    <w:rsid w:val="0087104B"/>
    <w:rsid w:val="008832E5"/>
    <w:rsid w:val="008862ED"/>
    <w:rsid w:val="008872AB"/>
    <w:rsid w:val="00891EB8"/>
    <w:rsid w:val="0089401D"/>
    <w:rsid w:val="00895628"/>
    <w:rsid w:val="00897669"/>
    <w:rsid w:val="008A6FAD"/>
    <w:rsid w:val="008C0181"/>
    <w:rsid w:val="008C6434"/>
    <w:rsid w:val="008D0B8D"/>
    <w:rsid w:val="008D4451"/>
    <w:rsid w:val="008D62B7"/>
    <w:rsid w:val="008D7A14"/>
    <w:rsid w:val="008E013B"/>
    <w:rsid w:val="008E07CA"/>
    <w:rsid w:val="008E19AE"/>
    <w:rsid w:val="008E6895"/>
    <w:rsid w:val="008F0721"/>
    <w:rsid w:val="00900B3C"/>
    <w:rsid w:val="00904FB5"/>
    <w:rsid w:val="0091136C"/>
    <w:rsid w:val="009128A3"/>
    <w:rsid w:val="00913039"/>
    <w:rsid w:val="00915E39"/>
    <w:rsid w:val="0092264E"/>
    <w:rsid w:val="00930D7D"/>
    <w:rsid w:val="00931CB3"/>
    <w:rsid w:val="00934202"/>
    <w:rsid w:val="00937D33"/>
    <w:rsid w:val="0094173F"/>
    <w:rsid w:val="0095047E"/>
    <w:rsid w:val="00952003"/>
    <w:rsid w:val="00955B1A"/>
    <w:rsid w:val="00956101"/>
    <w:rsid w:val="009561FB"/>
    <w:rsid w:val="00957BAF"/>
    <w:rsid w:val="00962CD6"/>
    <w:rsid w:val="009654F8"/>
    <w:rsid w:val="00965ACE"/>
    <w:rsid w:val="00966AE4"/>
    <w:rsid w:val="009736C5"/>
    <w:rsid w:val="00974688"/>
    <w:rsid w:val="00974EE1"/>
    <w:rsid w:val="00976114"/>
    <w:rsid w:val="00980ED0"/>
    <w:rsid w:val="0098271C"/>
    <w:rsid w:val="00985916"/>
    <w:rsid w:val="00986783"/>
    <w:rsid w:val="00993A60"/>
    <w:rsid w:val="00995648"/>
    <w:rsid w:val="009A65FE"/>
    <w:rsid w:val="009B014E"/>
    <w:rsid w:val="009B7BAC"/>
    <w:rsid w:val="009D274E"/>
    <w:rsid w:val="009D67EC"/>
    <w:rsid w:val="009D71D5"/>
    <w:rsid w:val="009E2887"/>
    <w:rsid w:val="009E56D6"/>
    <w:rsid w:val="009E5CB9"/>
    <w:rsid w:val="009F01B7"/>
    <w:rsid w:val="009F07F5"/>
    <w:rsid w:val="009F22EA"/>
    <w:rsid w:val="009F31F2"/>
    <w:rsid w:val="009F45A5"/>
    <w:rsid w:val="009F5A85"/>
    <w:rsid w:val="009F6BA3"/>
    <w:rsid w:val="009F72B0"/>
    <w:rsid w:val="00A01C2E"/>
    <w:rsid w:val="00A02BB2"/>
    <w:rsid w:val="00A032B4"/>
    <w:rsid w:val="00A04052"/>
    <w:rsid w:val="00A04E03"/>
    <w:rsid w:val="00A0709E"/>
    <w:rsid w:val="00A074C5"/>
    <w:rsid w:val="00A07B7D"/>
    <w:rsid w:val="00A123F4"/>
    <w:rsid w:val="00A12563"/>
    <w:rsid w:val="00A2498C"/>
    <w:rsid w:val="00A26BB4"/>
    <w:rsid w:val="00A300B9"/>
    <w:rsid w:val="00A31019"/>
    <w:rsid w:val="00A36325"/>
    <w:rsid w:val="00A41E32"/>
    <w:rsid w:val="00A52B5E"/>
    <w:rsid w:val="00A57E9E"/>
    <w:rsid w:val="00A7052C"/>
    <w:rsid w:val="00A771EC"/>
    <w:rsid w:val="00A81693"/>
    <w:rsid w:val="00A8360A"/>
    <w:rsid w:val="00A83D3A"/>
    <w:rsid w:val="00A84EA1"/>
    <w:rsid w:val="00A933D8"/>
    <w:rsid w:val="00A9409D"/>
    <w:rsid w:val="00A95257"/>
    <w:rsid w:val="00AA4379"/>
    <w:rsid w:val="00AA4618"/>
    <w:rsid w:val="00AA5E2F"/>
    <w:rsid w:val="00AA7317"/>
    <w:rsid w:val="00AB102D"/>
    <w:rsid w:val="00AB7D82"/>
    <w:rsid w:val="00AC2C0B"/>
    <w:rsid w:val="00AC365E"/>
    <w:rsid w:val="00AC4905"/>
    <w:rsid w:val="00AC6ADE"/>
    <w:rsid w:val="00AD5A3C"/>
    <w:rsid w:val="00AE37FE"/>
    <w:rsid w:val="00AE7922"/>
    <w:rsid w:val="00AF056B"/>
    <w:rsid w:val="00AF146F"/>
    <w:rsid w:val="00AF28F4"/>
    <w:rsid w:val="00AF395D"/>
    <w:rsid w:val="00B01011"/>
    <w:rsid w:val="00B01806"/>
    <w:rsid w:val="00B05BD1"/>
    <w:rsid w:val="00B07BA4"/>
    <w:rsid w:val="00B10089"/>
    <w:rsid w:val="00B13EAE"/>
    <w:rsid w:val="00B16F3B"/>
    <w:rsid w:val="00B16FFE"/>
    <w:rsid w:val="00B17168"/>
    <w:rsid w:val="00B21CF0"/>
    <w:rsid w:val="00B22E50"/>
    <w:rsid w:val="00B46F30"/>
    <w:rsid w:val="00B608C1"/>
    <w:rsid w:val="00B60D3D"/>
    <w:rsid w:val="00B61BCE"/>
    <w:rsid w:val="00B61D95"/>
    <w:rsid w:val="00B70805"/>
    <w:rsid w:val="00B7231F"/>
    <w:rsid w:val="00B85D9E"/>
    <w:rsid w:val="00B868DD"/>
    <w:rsid w:val="00B90A1E"/>
    <w:rsid w:val="00B91443"/>
    <w:rsid w:val="00B9187F"/>
    <w:rsid w:val="00B9429C"/>
    <w:rsid w:val="00B97B75"/>
    <w:rsid w:val="00BA2BF3"/>
    <w:rsid w:val="00BA4D71"/>
    <w:rsid w:val="00BB111F"/>
    <w:rsid w:val="00BB3050"/>
    <w:rsid w:val="00BB7831"/>
    <w:rsid w:val="00BC31BC"/>
    <w:rsid w:val="00BC6167"/>
    <w:rsid w:val="00BC6A01"/>
    <w:rsid w:val="00BD357B"/>
    <w:rsid w:val="00BD3EA9"/>
    <w:rsid w:val="00BD65E1"/>
    <w:rsid w:val="00BE198F"/>
    <w:rsid w:val="00BE4435"/>
    <w:rsid w:val="00BE5738"/>
    <w:rsid w:val="00BE6B71"/>
    <w:rsid w:val="00BF10E6"/>
    <w:rsid w:val="00BF2018"/>
    <w:rsid w:val="00C05209"/>
    <w:rsid w:val="00C06E34"/>
    <w:rsid w:val="00C07BB3"/>
    <w:rsid w:val="00C1087E"/>
    <w:rsid w:val="00C153F2"/>
    <w:rsid w:val="00C2000E"/>
    <w:rsid w:val="00C26C26"/>
    <w:rsid w:val="00C3047C"/>
    <w:rsid w:val="00C33ED3"/>
    <w:rsid w:val="00C35A32"/>
    <w:rsid w:val="00C379C9"/>
    <w:rsid w:val="00C422B8"/>
    <w:rsid w:val="00C54532"/>
    <w:rsid w:val="00C566D6"/>
    <w:rsid w:val="00C6279D"/>
    <w:rsid w:val="00C65927"/>
    <w:rsid w:val="00C71E57"/>
    <w:rsid w:val="00C764D9"/>
    <w:rsid w:val="00C77910"/>
    <w:rsid w:val="00C839ED"/>
    <w:rsid w:val="00C84299"/>
    <w:rsid w:val="00C852E4"/>
    <w:rsid w:val="00C92F14"/>
    <w:rsid w:val="00C93613"/>
    <w:rsid w:val="00C94B98"/>
    <w:rsid w:val="00C958D8"/>
    <w:rsid w:val="00C97365"/>
    <w:rsid w:val="00CA061C"/>
    <w:rsid w:val="00CA226D"/>
    <w:rsid w:val="00CA4BC5"/>
    <w:rsid w:val="00CA4C1A"/>
    <w:rsid w:val="00CB1AE0"/>
    <w:rsid w:val="00CB79B4"/>
    <w:rsid w:val="00CC08BA"/>
    <w:rsid w:val="00CC1269"/>
    <w:rsid w:val="00CC2EF8"/>
    <w:rsid w:val="00CC330A"/>
    <w:rsid w:val="00CC5727"/>
    <w:rsid w:val="00CC7DBD"/>
    <w:rsid w:val="00CD1DEA"/>
    <w:rsid w:val="00CD3DE3"/>
    <w:rsid w:val="00CD6935"/>
    <w:rsid w:val="00CE03ED"/>
    <w:rsid w:val="00CE502A"/>
    <w:rsid w:val="00CE7F7F"/>
    <w:rsid w:val="00CF1939"/>
    <w:rsid w:val="00CF3849"/>
    <w:rsid w:val="00D0233C"/>
    <w:rsid w:val="00D041C3"/>
    <w:rsid w:val="00D044DE"/>
    <w:rsid w:val="00D11462"/>
    <w:rsid w:val="00D11B6C"/>
    <w:rsid w:val="00D14D61"/>
    <w:rsid w:val="00D221EE"/>
    <w:rsid w:val="00D22A47"/>
    <w:rsid w:val="00D25CB4"/>
    <w:rsid w:val="00D2685B"/>
    <w:rsid w:val="00D275FC"/>
    <w:rsid w:val="00D2771B"/>
    <w:rsid w:val="00D3279D"/>
    <w:rsid w:val="00D3576E"/>
    <w:rsid w:val="00D43297"/>
    <w:rsid w:val="00D4554D"/>
    <w:rsid w:val="00D46B0B"/>
    <w:rsid w:val="00D55ED8"/>
    <w:rsid w:val="00D565FD"/>
    <w:rsid w:val="00D6087B"/>
    <w:rsid w:val="00D60C5A"/>
    <w:rsid w:val="00D62DBE"/>
    <w:rsid w:val="00D64EBB"/>
    <w:rsid w:val="00D6530A"/>
    <w:rsid w:val="00D70DB6"/>
    <w:rsid w:val="00D723BC"/>
    <w:rsid w:val="00D755B6"/>
    <w:rsid w:val="00D75AA1"/>
    <w:rsid w:val="00D76048"/>
    <w:rsid w:val="00D76AA2"/>
    <w:rsid w:val="00D84ACF"/>
    <w:rsid w:val="00D90EE9"/>
    <w:rsid w:val="00D9217C"/>
    <w:rsid w:val="00D93C80"/>
    <w:rsid w:val="00D9686A"/>
    <w:rsid w:val="00D96A8F"/>
    <w:rsid w:val="00DA04A3"/>
    <w:rsid w:val="00DA16F7"/>
    <w:rsid w:val="00DB406A"/>
    <w:rsid w:val="00DB5C6E"/>
    <w:rsid w:val="00DB6AE3"/>
    <w:rsid w:val="00DB7FB0"/>
    <w:rsid w:val="00DC040E"/>
    <w:rsid w:val="00DC6D2E"/>
    <w:rsid w:val="00DD157C"/>
    <w:rsid w:val="00DD5E3A"/>
    <w:rsid w:val="00DD6E29"/>
    <w:rsid w:val="00DE4FC7"/>
    <w:rsid w:val="00DF11A7"/>
    <w:rsid w:val="00DF3381"/>
    <w:rsid w:val="00DF47EB"/>
    <w:rsid w:val="00DF4CC3"/>
    <w:rsid w:val="00E0512E"/>
    <w:rsid w:val="00E16046"/>
    <w:rsid w:val="00E211ED"/>
    <w:rsid w:val="00E247E0"/>
    <w:rsid w:val="00E271CB"/>
    <w:rsid w:val="00E301D0"/>
    <w:rsid w:val="00E3077B"/>
    <w:rsid w:val="00E317B2"/>
    <w:rsid w:val="00E33FE3"/>
    <w:rsid w:val="00E34FE3"/>
    <w:rsid w:val="00E375FA"/>
    <w:rsid w:val="00E43225"/>
    <w:rsid w:val="00E54436"/>
    <w:rsid w:val="00E55BA0"/>
    <w:rsid w:val="00E55D6C"/>
    <w:rsid w:val="00E5640D"/>
    <w:rsid w:val="00E57396"/>
    <w:rsid w:val="00E6217E"/>
    <w:rsid w:val="00E65765"/>
    <w:rsid w:val="00E73286"/>
    <w:rsid w:val="00E75FFF"/>
    <w:rsid w:val="00E81A1B"/>
    <w:rsid w:val="00E81A86"/>
    <w:rsid w:val="00E83B13"/>
    <w:rsid w:val="00E85A7A"/>
    <w:rsid w:val="00E8607B"/>
    <w:rsid w:val="00E91073"/>
    <w:rsid w:val="00E93583"/>
    <w:rsid w:val="00E93CB9"/>
    <w:rsid w:val="00EA00FB"/>
    <w:rsid w:val="00EA2F86"/>
    <w:rsid w:val="00EA303C"/>
    <w:rsid w:val="00EA4C75"/>
    <w:rsid w:val="00EA4C98"/>
    <w:rsid w:val="00EA6D39"/>
    <w:rsid w:val="00EB1D97"/>
    <w:rsid w:val="00EB32A3"/>
    <w:rsid w:val="00EB3742"/>
    <w:rsid w:val="00EB41C1"/>
    <w:rsid w:val="00EB6CF7"/>
    <w:rsid w:val="00EB6E09"/>
    <w:rsid w:val="00EC480E"/>
    <w:rsid w:val="00EC4E42"/>
    <w:rsid w:val="00ED3D60"/>
    <w:rsid w:val="00ED5444"/>
    <w:rsid w:val="00ED5A10"/>
    <w:rsid w:val="00EE04FB"/>
    <w:rsid w:val="00EE20ED"/>
    <w:rsid w:val="00EE3032"/>
    <w:rsid w:val="00EF4C53"/>
    <w:rsid w:val="00F006F1"/>
    <w:rsid w:val="00F01BBC"/>
    <w:rsid w:val="00F05540"/>
    <w:rsid w:val="00F07B7B"/>
    <w:rsid w:val="00F10654"/>
    <w:rsid w:val="00F15C5F"/>
    <w:rsid w:val="00F23B95"/>
    <w:rsid w:val="00F24A7C"/>
    <w:rsid w:val="00F26EE2"/>
    <w:rsid w:val="00F304CA"/>
    <w:rsid w:val="00F30758"/>
    <w:rsid w:val="00F34699"/>
    <w:rsid w:val="00F40388"/>
    <w:rsid w:val="00F4087F"/>
    <w:rsid w:val="00F42D3C"/>
    <w:rsid w:val="00F46283"/>
    <w:rsid w:val="00F51C1E"/>
    <w:rsid w:val="00F56F75"/>
    <w:rsid w:val="00F6012B"/>
    <w:rsid w:val="00F63389"/>
    <w:rsid w:val="00F665E0"/>
    <w:rsid w:val="00F66C40"/>
    <w:rsid w:val="00F71C5B"/>
    <w:rsid w:val="00F845F5"/>
    <w:rsid w:val="00F91977"/>
    <w:rsid w:val="00F97B57"/>
    <w:rsid w:val="00F97C1A"/>
    <w:rsid w:val="00FA4F7C"/>
    <w:rsid w:val="00FB0456"/>
    <w:rsid w:val="00FB47F4"/>
    <w:rsid w:val="00FC0995"/>
    <w:rsid w:val="00FC17F4"/>
    <w:rsid w:val="00FC5630"/>
    <w:rsid w:val="00FD2B12"/>
    <w:rsid w:val="00FD2B9F"/>
    <w:rsid w:val="00FD54BE"/>
    <w:rsid w:val="00FD6FA9"/>
    <w:rsid w:val="00FE1AEE"/>
    <w:rsid w:val="00FE2F0B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D1B55"/>
  <w15:docId w15:val="{E9A64D23-E042-4BA2-8AF8-27D680B0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40">
    <w:name w:val="heading 4"/>
    <w:basedOn w:val="a1"/>
    <w:next w:val="a1"/>
    <w:link w:val="41"/>
    <w:uiPriority w:val="9"/>
    <w:qFormat/>
    <w:rsid w:val="00C65927"/>
    <w:pPr>
      <w:keepNext/>
      <w:spacing w:after="0" w:line="240" w:lineRule="auto"/>
      <w:outlineLvl w:val="3"/>
    </w:pPr>
    <w:rPr>
      <w:rFonts w:ascii="Times New Roman" w:eastAsia="Times New Roman" w:hAnsi="Times New Roman"/>
      <w:b/>
      <w:kern w:val="28"/>
      <w:szCs w:val="20"/>
      <w:lang w:eastAsia="ru-RU"/>
    </w:rPr>
  </w:style>
  <w:style w:type="paragraph" w:styleId="50">
    <w:name w:val="heading 5"/>
    <w:basedOn w:val="a1"/>
    <w:next w:val="a1"/>
    <w:link w:val="51"/>
    <w:uiPriority w:val="9"/>
    <w:qFormat/>
    <w:rsid w:val="00C65927"/>
    <w:pPr>
      <w:keepNext/>
      <w:tabs>
        <w:tab w:val="left" w:pos="4680"/>
      </w:tabs>
      <w:spacing w:after="0" w:line="240" w:lineRule="auto"/>
      <w:jc w:val="both"/>
      <w:outlineLvl w:val="4"/>
    </w:pPr>
    <w:rPr>
      <w:rFonts w:ascii="Times New Roman" w:eastAsia="Times New Roman" w:hAnsi="Times New Roman"/>
      <w:b/>
      <w:kern w:val="28"/>
      <w:szCs w:val="20"/>
      <w:lang w:eastAsia="ru-RU"/>
    </w:rPr>
  </w:style>
  <w:style w:type="paragraph" w:styleId="6">
    <w:name w:val="heading 6"/>
    <w:basedOn w:val="a1"/>
    <w:next w:val="a1"/>
    <w:link w:val="60"/>
    <w:uiPriority w:val="9"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qFormat/>
    <w:rsid w:val="00C65927"/>
    <w:pPr>
      <w:spacing w:before="240" w:after="60" w:line="240" w:lineRule="auto"/>
      <w:outlineLvl w:val="6"/>
    </w:pPr>
    <w:rPr>
      <w:rFonts w:ascii="Times New Roman" w:eastAsia="Times New Roman" w:hAnsi="Times New Roman"/>
      <w:kern w:val="28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C65927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kern w:val="28"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C65927"/>
    <w:pPr>
      <w:spacing w:before="240" w:after="60" w:line="240" w:lineRule="auto"/>
      <w:outlineLvl w:val="8"/>
    </w:pPr>
    <w:rPr>
      <w:rFonts w:ascii="Arial" w:eastAsia="Times New Roman" w:hAnsi="Arial"/>
      <w:kern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5">
    <w:name w:val="Normal (Web)"/>
    <w:basedOn w:val="a1"/>
    <w:uiPriority w:val="99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lock Text"/>
    <w:basedOn w:val="a1"/>
    <w:uiPriority w:val="99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1"/>
    <w:link w:val="a8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9">
    <w:name w:val="Body Text Indent"/>
    <w:basedOn w:val="a1"/>
    <w:link w:val="aa"/>
    <w:uiPriority w:val="99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1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b">
    <w:name w:val="Body Text"/>
    <w:basedOn w:val="a1"/>
    <w:link w:val="ac"/>
    <w:uiPriority w:val="99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link w:val="ab"/>
    <w:uiPriority w:val="9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List Paragraph"/>
    <w:basedOn w:val="a1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1"/>
    <w:next w:val="a1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e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2">
    <w:name w:val="Body Text Indent 3"/>
    <w:basedOn w:val="a1"/>
    <w:link w:val="33"/>
    <w:uiPriority w:val="99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3">
    <w:name w:val="Основной текст с отступом 3 Знак"/>
    <w:link w:val="32"/>
    <w:uiPriority w:val="99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3">
    <w:name w:val="Обычный2"/>
    <w:next w:val="a1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f">
    <w:name w:val="Subtitle"/>
    <w:basedOn w:val="a1"/>
    <w:link w:val="af0"/>
    <w:uiPriority w:val="11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f0">
    <w:name w:val="Подзаголовок Знак"/>
    <w:link w:val="af"/>
    <w:uiPriority w:val="11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1">
    <w:name w:val="Hyperlink"/>
    <w:uiPriority w:val="99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1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2">
    <w:name w:val="Emphasis"/>
    <w:uiPriority w:val="20"/>
    <w:qFormat/>
    <w:rsid w:val="00575348"/>
    <w:rPr>
      <w:i/>
      <w:iCs/>
    </w:rPr>
  </w:style>
  <w:style w:type="paragraph" w:customStyle="1" w:styleId="24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3">
    <w:name w:val="header"/>
    <w:basedOn w:val="a1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link w:val="af3"/>
    <w:uiPriority w:val="99"/>
    <w:rsid w:val="00D275FC"/>
    <w:rPr>
      <w:lang w:val="ru-RU"/>
    </w:rPr>
  </w:style>
  <w:style w:type="paragraph" w:styleId="af5">
    <w:name w:val="footer"/>
    <w:basedOn w:val="a1"/>
    <w:link w:val="af6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link w:val="af5"/>
    <w:uiPriority w:val="99"/>
    <w:rsid w:val="00D275FC"/>
    <w:rPr>
      <w:lang w:val="ru-RU"/>
    </w:rPr>
  </w:style>
  <w:style w:type="paragraph" w:styleId="af7">
    <w:name w:val="Title"/>
    <w:basedOn w:val="a1"/>
    <w:next w:val="a1"/>
    <w:link w:val="14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14">
    <w:name w:val="Заголовок Знак1"/>
    <w:link w:val="af7"/>
    <w:uiPriority w:val="10"/>
    <w:rsid w:val="00900B3C"/>
    <w:rPr>
      <w:rFonts w:ascii="Consolas" w:eastAsia="Consolas" w:hAnsi="Consolas" w:cs="Consolas"/>
    </w:rPr>
  </w:style>
  <w:style w:type="character" w:styleId="af8">
    <w:name w:val="annotation reference"/>
    <w:uiPriority w:val="99"/>
    <w:rsid w:val="007D0E84"/>
    <w:rPr>
      <w:sz w:val="16"/>
      <w:szCs w:val="16"/>
    </w:rPr>
  </w:style>
  <w:style w:type="paragraph" w:styleId="af9">
    <w:name w:val="annotation text"/>
    <w:aliases w:val="Annotationtext"/>
    <w:basedOn w:val="a1"/>
    <w:link w:val="afa"/>
    <w:uiPriority w:val="9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a">
    <w:name w:val="Текст примечания Знак"/>
    <w:aliases w:val="Annotationtext Знак"/>
    <w:link w:val="af9"/>
    <w:uiPriority w:val="99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link w:val="DefaultChar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1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1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1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2">
    <w:name w:val="Заголовок 2 Знак"/>
    <w:link w:val="21"/>
    <w:uiPriority w:val="9"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1">
    <w:name w:val="Заголовок 4 Знак"/>
    <w:link w:val="40"/>
    <w:uiPriority w:val="9"/>
    <w:rsid w:val="00C65927"/>
    <w:rPr>
      <w:rFonts w:ascii="Times New Roman" w:eastAsia="Times New Roman" w:hAnsi="Times New Roman"/>
      <w:b/>
      <w:kern w:val="28"/>
      <w:sz w:val="22"/>
    </w:rPr>
  </w:style>
  <w:style w:type="character" w:customStyle="1" w:styleId="51">
    <w:name w:val="Заголовок 5 Знак"/>
    <w:link w:val="50"/>
    <w:uiPriority w:val="9"/>
    <w:rsid w:val="00C65927"/>
    <w:rPr>
      <w:rFonts w:ascii="Times New Roman" w:eastAsia="Times New Roman" w:hAnsi="Times New Roman"/>
      <w:b/>
      <w:kern w:val="28"/>
      <w:sz w:val="22"/>
    </w:rPr>
  </w:style>
  <w:style w:type="character" w:customStyle="1" w:styleId="70">
    <w:name w:val="Заголовок 7 Знак"/>
    <w:link w:val="7"/>
    <w:uiPriority w:val="9"/>
    <w:rsid w:val="00C65927"/>
    <w:rPr>
      <w:rFonts w:ascii="Times New Roman" w:eastAsia="Times New Roman" w:hAnsi="Times New Roman"/>
      <w:kern w:val="28"/>
      <w:sz w:val="24"/>
      <w:szCs w:val="24"/>
    </w:rPr>
  </w:style>
  <w:style w:type="character" w:customStyle="1" w:styleId="80">
    <w:name w:val="Заголовок 8 Знак"/>
    <w:link w:val="8"/>
    <w:uiPriority w:val="9"/>
    <w:rsid w:val="00C65927"/>
    <w:rPr>
      <w:rFonts w:ascii="Times New Roman" w:eastAsia="Times New Roman" w:hAnsi="Times New Roman"/>
      <w:i/>
      <w:iCs/>
      <w:kern w:val="28"/>
      <w:sz w:val="24"/>
      <w:szCs w:val="24"/>
    </w:rPr>
  </w:style>
  <w:style w:type="character" w:customStyle="1" w:styleId="90">
    <w:name w:val="Заголовок 9 Знак"/>
    <w:link w:val="9"/>
    <w:uiPriority w:val="9"/>
    <w:rsid w:val="00C65927"/>
    <w:rPr>
      <w:rFonts w:ascii="Arial" w:eastAsia="Times New Roman" w:hAnsi="Arial"/>
      <w:kern w:val="28"/>
      <w:sz w:val="22"/>
      <w:szCs w:val="22"/>
    </w:rPr>
  </w:style>
  <w:style w:type="paragraph" w:styleId="34">
    <w:name w:val="Body Text 3"/>
    <w:basedOn w:val="a1"/>
    <w:link w:val="35"/>
    <w:uiPriority w:val="99"/>
    <w:rsid w:val="00C65927"/>
    <w:pPr>
      <w:widowControl w:val="0"/>
      <w:tabs>
        <w:tab w:val="decimal" w:pos="1668"/>
        <w:tab w:val="decimal" w:pos="2316"/>
        <w:tab w:val="decimal" w:pos="297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28"/>
      <w:sz w:val="24"/>
      <w:szCs w:val="20"/>
      <w:lang w:eastAsia="ru-RU"/>
    </w:rPr>
  </w:style>
  <w:style w:type="character" w:customStyle="1" w:styleId="35">
    <w:name w:val="Основной текст 3 Знак"/>
    <w:link w:val="34"/>
    <w:uiPriority w:val="99"/>
    <w:rsid w:val="00C65927"/>
    <w:rPr>
      <w:rFonts w:ascii="Times New Roman" w:eastAsia="Times New Roman" w:hAnsi="Times New Roman"/>
      <w:b/>
      <w:kern w:val="28"/>
      <w:sz w:val="24"/>
    </w:rPr>
  </w:style>
  <w:style w:type="character" w:customStyle="1" w:styleId="DefaultChar">
    <w:name w:val="Default Char"/>
    <w:link w:val="Default"/>
    <w:locked/>
    <w:rsid w:val="00C65927"/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25">
    <w:name w:val="Body Text Indent 2"/>
    <w:basedOn w:val="a1"/>
    <w:link w:val="26"/>
    <w:uiPriority w:val="99"/>
    <w:unhideWhenUsed/>
    <w:rsid w:val="00C65927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kern w:val="28"/>
      <w:sz w:val="20"/>
      <w:szCs w:val="20"/>
      <w:lang w:eastAsia="ru-RU"/>
    </w:rPr>
  </w:style>
  <w:style w:type="character" w:customStyle="1" w:styleId="26">
    <w:name w:val="Основной текст с отступом 2 Знак"/>
    <w:link w:val="25"/>
    <w:uiPriority w:val="99"/>
    <w:rsid w:val="00C65927"/>
    <w:rPr>
      <w:rFonts w:ascii="Times New Roman" w:eastAsia="Times New Roman" w:hAnsi="Times New Roman"/>
      <w:kern w:val="28"/>
    </w:rPr>
  </w:style>
  <w:style w:type="paragraph" w:styleId="27">
    <w:name w:val="Body Text 2"/>
    <w:basedOn w:val="a1"/>
    <w:link w:val="28"/>
    <w:uiPriority w:val="99"/>
    <w:unhideWhenUsed/>
    <w:rsid w:val="00C65927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kern w:val="28"/>
      <w:sz w:val="20"/>
      <w:szCs w:val="20"/>
      <w:lang w:eastAsia="ru-RU"/>
    </w:rPr>
  </w:style>
  <w:style w:type="character" w:customStyle="1" w:styleId="28">
    <w:name w:val="Основной текст 2 Знак"/>
    <w:link w:val="27"/>
    <w:uiPriority w:val="99"/>
    <w:rsid w:val="00C65927"/>
    <w:rPr>
      <w:rFonts w:ascii="Times New Roman" w:eastAsia="Times New Roman" w:hAnsi="Times New Roman"/>
      <w:kern w:val="28"/>
    </w:rPr>
  </w:style>
  <w:style w:type="paragraph" w:styleId="afb">
    <w:name w:val="annotation subject"/>
    <w:basedOn w:val="af9"/>
    <w:next w:val="af9"/>
    <w:link w:val="afc"/>
    <w:uiPriority w:val="99"/>
    <w:unhideWhenUsed/>
    <w:rsid w:val="00C65927"/>
    <w:pPr>
      <w:widowControl w:val="0"/>
      <w:autoSpaceDE w:val="0"/>
      <w:autoSpaceDN w:val="0"/>
    </w:pPr>
    <w:rPr>
      <w:rFonts w:cs="Times New Roman"/>
      <w:b/>
      <w:bCs/>
      <w:kern w:val="28"/>
      <w:lang w:val="ru-RU" w:eastAsia="ru-RU" w:bidi="ar-SA"/>
    </w:rPr>
  </w:style>
  <w:style w:type="character" w:customStyle="1" w:styleId="afc">
    <w:name w:val="Тема примечания Знак"/>
    <w:link w:val="afb"/>
    <w:uiPriority w:val="99"/>
    <w:rsid w:val="00C65927"/>
    <w:rPr>
      <w:rFonts w:ascii="Times New Roman" w:eastAsia="Times New Roman" w:hAnsi="Times New Roman" w:cs="Arial Unicode MS"/>
      <w:b/>
      <w:bCs/>
      <w:kern w:val="28"/>
      <w:lang w:val="en-GB" w:eastAsia="hu-HU" w:bidi="ml-IN"/>
    </w:rPr>
  </w:style>
  <w:style w:type="paragraph" w:customStyle="1" w:styleId="Style23">
    <w:name w:val="Style23"/>
    <w:basedOn w:val="a1"/>
    <w:rsid w:val="00C65927"/>
    <w:pPr>
      <w:widowControl w:val="0"/>
      <w:autoSpaceDE w:val="0"/>
      <w:autoSpaceDN w:val="0"/>
      <w:adjustRightInd w:val="0"/>
      <w:spacing w:after="0" w:line="264" w:lineRule="exact"/>
      <w:ind w:hanging="240"/>
    </w:pPr>
    <w:rPr>
      <w:rFonts w:ascii="Times New Roman" w:eastAsia="Times New Roman" w:hAnsi="Times New Roman"/>
      <w:kern w:val="28"/>
      <w:sz w:val="24"/>
      <w:szCs w:val="24"/>
      <w:lang w:eastAsia="ru-RU"/>
    </w:rPr>
  </w:style>
  <w:style w:type="character" w:customStyle="1" w:styleId="FontStyle57">
    <w:name w:val="Font Style57"/>
    <w:rsid w:val="00C65927"/>
    <w:rPr>
      <w:rFonts w:ascii="Arial" w:hAnsi="Arial"/>
      <w:sz w:val="18"/>
      <w:lang w:val="ru-RU" w:eastAsia="ru-RU"/>
    </w:rPr>
  </w:style>
  <w:style w:type="character" w:customStyle="1" w:styleId="hps">
    <w:name w:val="hps"/>
    <w:rsid w:val="00C65927"/>
  </w:style>
  <w:style w:type="paragraph" w:customStyle="1" w:styleId="Table-Text">
    <w:name w:val="Table-Text"/>
    <w:basedOn w:val="a1"/>
    <w:link w:val="Table-TextChar"/>
    <w:rsid w:val="00C6592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 w:line="240" w:lineRule="auto"/>
    </w:pPr>
    <w:rPr>
      <w:rFonts w:ascii="Times New Roman" w:eastAsia="Arial Unicode MS" w:hAnsi="Times New Roman"/>
      <w:kern w:val="28"/>
      <w:sz w:val="20"/>
      <w:szCs w:val="18"/>
      <w:lang w:eastAsia="ru-RU"/>
    </w:rPr>
  </w:style>
  <w:style w:type="character" w:customStyle="1" w:styleId="Table-TextChar">
    <w:name w:val="Table-Text Char"/>
    <w:link w:val="Table-Text"/>
    <w:locked/>
    <w:rsid w:val="00C65927"/>
    <w:rPr>
      <w:rFonts w:ascii="Times New Roman" w:eastAsia="Arial Unicode MS" w:hAnsi="Times New Roman"/>
      <w:kern w:val="28"/>
      <w:szCs w:val="18"/>
    </w:rPr>
  </w:style>
  <w:style w:type="paragraph" w:customStyle="1" w:styleId="MemoHeaderStyle">
    <w:name w:val="MemoHeaderStyle"/>
    <w:basedOn w:val="a1"/>
    <w:next w:val="a1"/>
    <w:rsid w:val="00C65927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/>
      <w:b/>
      <w:smallCaps/>
      <w:kern w:val="28"/>
      <w:szCs w:val="20"/>
      <w:lang w:eastAsia="ru-RU"/>
    </w:rPr>
  </w:style>
  <w:style w:type="character" w:styleId="afd">
    <w:name w:val="page number"/>
    <w:uiPriority w:val="99"/>
    <w:rsid w:val="00C65927"/>
    <w:rPr>
      <w:lang w:val="ru-RU" w:eastAsia="ru-RU"/>
    </w:rPr>
  </w:style>
  <w:style w:type="paragraph" w:customStyle="1" w:styleId="EMEAEnBodyText">
    <w:name w:val="EMEA En Body Text"/>
    <w:basedOn w:val="a1"/>
    <w:rsid w:val="00C65927"/>
    <w:pPr>
      <w:spacing w:before="120" w:after="120" w:line="240" w:lineRule="auto"/>
      <w:jc w:val="both"/>
    </w:pPr>
    <w:rPr>
      <w:rFonts w:ascii="Times New Roman" w:eastAsia="Times New Roman" w:hAnsi="Times New Roman"/>
      <w:kern w:val="28"/>
      <w:szCs w:val="20"/>
      <w:lang w:eastAsia="ru-RU"/>
    </w:rPr>
  </w:style>
  <w:style w:type="paragraph" w:customStyle="1" w:styleId="BodytextAgency">
    <w:name w:val="Body text (Agency)"/>
    <w:basedOn w:val="a1"/>
    <w:link w:val="BodytextAgencyChar"/>
    <w:qFormat/>
    <w:rsid w:val="00C65927"/>
    <w:pPr>
      <w:spacing w:after="140" w:line="280" w:lineRule="atLeast"/>
    </w:pPr>
    <w:rPr>
      <w:rFonts w:ascii="Verdana" w:eastAsia="Times New Roman" w:hAnsi="Verdana" w:cs="Verdana"/>
      <w:kern w:val="28"/>
      <w:sz w:val="18"/>
      <w:szCs w:val="18"/>
      <w:lang w:eastAsia="ru-RU"/>
    </w:rPr>
  </w:style>
  <w:style w:type="character" w:customStyle="1" w:styleId="BodytextAgencyChar">
    <w:name w:val="Body text (Agency) Char"/>
    <w:link w:val="BodytextAgency"/>
    <w:locked/>
    <w:rsid w:val="00C65927"/>
    <w:rPr>
      <w:rFonts w:ascii="Verdana" w:eastAsia="Times New Roman" w:hAnsi="Verdana" w:cs="Verdana"/>
      <w:kern w:val="28"/>
      <w:sz w:val="18"/>
      <w:szCs w:val="18"/>
    </w:rPr>
  </w:style>
  <w:style w:type="paragraph" w:customStyle="1" w:styleId="DraftingNotesAgency">
    <w:name w:val="Drafting Notes (Agency)"/>
    <w:basedOn w:val="a1"/>
    <w:next w:val="BodytextAgency"/>
    <w:link w:val="DraftingNotesAgencyChar"/>
    <w:rsid w:val="00C65927"/>
    <w:pPr>
      <w:spacing w:after="140" w:line="280" w:lineRule="atLeast"/>
    </w:pPr>
    <w:rPr>
      <w:rFonts w:ascii="Courier New" w:eastAsia="Times New Roman" w:hAnsi="Courier New"/>
      <w:i/>
      <w:color w:val="339966"/>
      <w:kern w:val="28"/>
      <w:szCs w:val="18"/>
      <w:lang w:eastAsia="ru-RU"/>
    </w:rPr>
  </w:style>
  <w:style w:type="character" w:customStyle="1" w:styleId="DraftingNotesAgencyChar">
    <w:name w:val="Drafting Notes (Agency) Char"/>
    <w:link w:val="DraftingNotesAgency"/>
    <w:locked/>
    <w:rsid w:val="00C65927"/>
    <w:rPr>
      <w:rFonts w:ascii="Courier New" w:eastAsia="Times New Roman" w:hAnsi="Courier New"/>
      <w:i/>
      <w:color w:val="339966"/>
      <w:kern w:val="28"/>
      <w:sz w:val="22"/>
      <w:szCs w:val="18"/>
    </w:rPr>
  </w:style>
  <w:style w:type="paragraph" w:customStyle="1" w:styleId="NormalAgency">
    <w:name w:val="Normal (Agency)"/>
    <w:link w:val="NormalAgencyChar"/>
    <w:rsid w:val="00C65927"/>
    <w:rPr>
      <w:rFonts w:ascii="Verdana" w:eastAsia="Times New Roman" w:hAnsi="Verdana" w:cs="Verdana"/>
      <w:sz w:val="18"/>
      <w:szCs w:val="18"/>
    </w:rPr>
  </w:style>
  <w:style w:type="table" w:customStyle="1" w:styleId="TablegridAgencyblack">
    <w:name w:val="Table grid (Agency) black"/>
    <w:basedOn w:val="a3"/>
    <w:semiHidden/>
    <w:rsid w:val="00C65927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65927"/>
    <w:pPr>
      <w:keepNext/>
    </w:pPr>
    <w:rPr>
      <w:b/>
    </w:rPr>
  </w:style>
  <w:style w:type="paragraph" w:customStyle="1" w:styleId="TabletextrowsAgency">
    <w:name w:val="Table text rows (Agency)"/>
    <w:basedOn w:val="a1"/>
    <w:rsid w:val="00C65927"/>
    <w:pPr>
      <w:spacing w:after="0" w:line="280" w:lineRule="exact"/>
    </w:pPr>
    <w:rPr>
      <w:rFonts w:ascii="Verdana" w:eastAsia="Times New Roman" w:hAnsi="Verdana" w:cs="Verdana"/>
      <w:kern w:val="28"/>
      <w:sz w:val="18"/>
      <w:szCs w:val="18"/>
      <w:lang w:eastAsia="ru-RU"/>
    </w:rPr>
  </w:style>
  <w:style w:type="character" w:customStyle="1" w:styleId="NormalAgencyChar">
    <w:name w:val="Normal (Agency) Char"/>
    <w:link w:val="NormalAgency"/>
    <w:locked/>
    <w:rsid w:val="00C65927"/>
    <w:rPr>
      <w:rFonts w:ascii="Verdana" w:eastAsia="Times New Roman" w:hAnsi="Verdana" w:cs="Verdana"/>
      <w:sz w:val="18"/>
      <w:szCs w:val="18"/>
    </w:rPr>
  </w:style>
  <w:style w:type="paragraph" w:styleId="afe">
    <w:name w:val="caption"/>
    <w:aliases w:val="Char"/>
    <w:basedOn w:val="a1"/>
    <w:next w:val="a1"/>
    <w:link w:val="aff"/>
    <w:uiPriority w:val="35"/>
    <w:unhideWhenUsed/>
    <w:qFormat/>
    <w:rsid w:val="00C65927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b/>
      <w:bCs/>
      <w:kern w:val="28"/>
      <w:sz w:val="20"/>
      <w:szCs w:val="20"/>
      <w:lang w:eastAsia="ru-RU"/>
    </w:rPr>
  </w:style>
  <w:style w:type="table" w:styleId="aff0">
    <w:name w:val="Table Grid"/>
    <w:basedOn w:val="a3"/>
    <w:uiPriority w:val="39"/>
    <w:rsid w:val="00C6592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1"/>
    <w:link w:val="aff2"/>
    <w:uiPriority w:val="99"/>
    <w:rsid w:val="00C65927"/>
    <w:pPr>
      <w:spacing w:after="0" w:line="240" w:lineRule="auto"/>
    </w:pPr>
    <w:rPr>
      <w:rFonts w:ascii="Times New Roman" w:eastAsia="Times New Roman" w:hAnsi="Times New Roman"/>
      <w:kern w:val="28"/>
      <w:sz w:val="18"/>
      <w:szCs w:val="20"/>
      <w:lang w:eastAsia="ru-RU"/>
    </w:rPr>
  </w:style>
  <w:style w:type="character" w:customStyle="1" w:styleId="aff2">
    <w:name w:val="Текст концевой сноски Знак"/>
    <w:link w:val="aff1"/>
    <w:uiPriority w:val="99"/>
    <w:rsid w:val="00C65927"/>
    <w:rPr>
      <w:rFonts w:ascii="Times New Roman" w:eastAsia="Times New Roman" w:hAnsi="Times New Roman"/>
      <w:kern w:val="28"/>
      <w:sz w:val="18"/>
    </w:rPr>
  </w:style>
  <w:style w:type="character" w:styleId="aff3">
    <w:name w:val="endnote reference"/>
    <w:uiPriority w:val="99"/>
    <w:rsid w:val="00C65927"/>
    <w:rPr>
      <w:vertAlign w:val="superscript"/>
      <w:lang w:val="ru-RU" w:eastAsia="ru-RU"/>
    </w:rPr>
  </w:style>
  <w:style w:type="character" w:customStyle="1" w:styleId="BodyTextChar">
    <w:name w:val="Body Text Char"/>
    <w:uiPriority w:val="99"/>
    <w:locked/>
    <w:rsid w:val="00C65927"/>
    <w:rPr>
      <w:sz w:val="22"/>
      <w:lang w:val="ru-RU" w:eastAsia="ru-RU"/>
    </w:rPr>
  </w:style>
  <w:style w:type="paragraph" w:styleId="a0">
    <w:name w:val="Document Map"/>
    <w:basedOn w:val="a1"/>
    <w:link w:val="aff4"/>
    <w:uiPriority w:val="99"/>
    <w:rsid w:val="00C65927"/>
    <w:pPr>
      <w:numPr>
        <w:numId w:val="42"/>
      </w:numPr>
      <w:shd w:val="clear" w:color="auto" w:fill="000080"/>
      <w:tabs>
        <w:tab w:val="clear" w:pos="360"/>
        <w:tab w:val="left" w:pos="567"/>
      </w:tabs>
      <w:spacing w:after="0" w:line="240" w:lineRule="auto"/>
    </w:pPr>
    <w:rPr>
      <w:rFonts w:ascii="Tahoma" w:eastAsia="Times New Roman" w:hAnsi="Tahoma"/>
      <w:kern w:val="28"/>
      <w:szCs w:val="20"/>
      <w:lang w:eastAsia="ru-RU"/>
    </w:rPr>
  </w:style>
  <w:style w:type="character" w:customStyle="1" w:styleId="aff4">
    <w:name w:val="Схема документа Знак"/>
    <w:link w:val="a0"/>
    <w:uiPriority w:val="99"/>
    <w:rsid w:val="00C65927"/>
    <w:rPr>
      <w:rFonts w:ascii="Tahoma" w:eastAsia="Times New Roman" w:hAnsi="Tahoma"/>
      <w:kern w:val="28"/>
      <w:sz w:val="22"/>
      <w:shd w:val="clear" w:color="auto" w:fill="000080"/>
    </w:rPr>
  </w:style>
  <w:style w:type="paragraph" w:customStyle="1" w:styleId="TOCHeadings">
    <w:name w:val="TOC Headings"/>
    <w:basedOn w:val="a1"/>
    <w:rsid w:val="00C65927"/>
    <w:pPr>
      <w:widowControl w:val="0"/>
      <w:tabs>
        <w:tab w:val="center" w:pos="4672"/>
        <w:tab w:val="right" w:pos="9344"/>
      </w:tabs>
      <w:spacing w:before="397" w:after="227" w:line="240" w:lineRule="auto"/>
    </w:pPr>
    <w:rPr>
      <w:rFonts w:ascii="Arial" w:eastAsia="Times New Roman" w:hAnsi="Arial"/>
      <w:b/>
      <w:kern w:val="28"/>
      <w:szCs w:val="20"/>
      <w:lang w:eastAsia="ru-RU"/>
    </w:rPr>
  </w:style>
  <w:style w:type="paragraph" w:customStyle="1" w:styleId="BodyTextIndent4">
    <w:name w:val="Body Text Indent 4"/>
    <w:basedOn w:val="a1"/>
    <w:rsid w:val="00C65927"/>
    <w:pPr>
      <w:numPr>
        <w:numId w:val="37"/>
      </w:numPr>
      <w:spacing w:after="0" w:line="240" w:lineRule="auto"/>
    </w:pPr>
    <w:rPr>
      <w:rFonts w:ascii="Times New Roman" w:eastAsia="Times New Roman" w:hAnsi="Times New Roman"/>
      <w:kern w:val="28"/>
      <w:szCs w:val="20"/>
      <w:lang w:eastAsia="ru-RU"/>
    </w:rPr>
  </w:style>
  <w:style w:type="paragraph" w:customStyle="1" w:styleId="Bulletstext">
    <w:name w:val="Bullets text"/>
    <w:basedOn w:val="a1"/>
    <w:rsid w:val="00C65927"/>
    <w:pPr>
      <w:numPr>
        <w:numId w:val="44"/>
      </w:numPr>
      <w:spacing w:after="240" w:line="240" w:lineRule="auto"/>
    </w:pPr>
    <w:rPr>
      <w:rFonts w:ascii="Times New Roman" w:eastAsia="Times New Roman" w:hAnsi="Times New Roman"/>
      <w:kern w:val="28"/>
      <w:sz w:val="24"/>
      <w:szCs w:val="20"/>
      <w:lang w:eastAsia="ru-RU"/>
    </w:rPr>
  </w:style>
  <w:style w:type="paragraph" w:customStyle="1" w:styleId="Text1">
    <w:name w:val="Text 1"/>
    <w:basedOn w:val="a1"/>
    <w:link w:val="Text1Char"/>
    <w:rsid w:val="00C65927"/>
    <w:pPr>
      <w:spacing w:after="240" w:line="240" w:lineRule="auto"/>
    </w:pPr>
    <w:rPr>
      <w:rFonts w:ascii="Times New Roman" w:eastAsia="Times New Roman" w:hAnsi="Times New Roman"/>
      <w:kern w:val="28"/>
      <w:sz w:val="24"/>
      <w:szCs w:val="20"/>
      <w:lang w:eastAsia="ru-RU"/>
    </w:rPr>
  </w:style>
  <w:style w:type="paragraph" w:customStyle="1" w:styleId="TitleA">
    <w:name w:val="Title A"/>
    <w:basedOn w:val="a1"/>
    <w:rsid w:val="00C65927"/>
    <w:pPr>
      <w:spacing w:after="0" w:line="240" w:lineRule="auto"/>
      <w:jc w:val="center"/>
    </w:pPr>
    <w:rPr>
      <w:rFonts w:ascii="Times New Roman" w:eastAsia="Times New Roman" w:hAnsi="Times New Roman"/>
      <w:b/>
      <w:kern w:val="28"/>
      <w:szCs w:val="20"/>
      <w:lang w:eastAsia="ru-RU"/>
    </w:rPr>
  </w:style>
  <w:style w:type="paragraph" w:customStyle="1" w:styleId="TitleB">
    <w:name w:val="Title B"/>
    <w:basedOn w:val="a1"/>
    <w:rsid w:val="00C65927"/>
    <w:pPr>
      <w:spacing w:after="0" w:line="240" w:lineRule="auto"/>
      <w:ind w:left="567" w:hanging="567"/>
      <w:jc w:val="center"/>
    </w:pPr>
    <w:rPr>
      <w:rFonts w:ascii="Times New Roman" w:eastAsia="Times New Roman" w:hAnsi="Times New Roman"/>
      <w:b/>
      <w:noProof/>
      <w:kern w:val="28"/>
      <w:szCs w:val="20"/>
      <w:lang w:eastAsia="ru-RU"/>
    </w:rPr>
  </w:style>
  <w:style w:type="character" w:styleId="aff5">
    <w:name w:val="Strong"/>
    <w:uiPriority w:val="22"/>
    <w:qFormat/>
    <w:rsid w:val="00C65927"/>
    <w:rPr>
      <w:b/>
      <w:lang w:val="ru-RU" w:eastAsia="ru-RU"/>
    </w:rPr>
  </w:style>
  <w:style w:type="character" w:styleId="aff6">
    <w:name w:val="FollowedHyperlink"/>
    <w:uiPriority w:val="99"/>
    <w:rsid w:val="00C65927"/>
    <w:rPr>
      <w:color w:val="606420"/>
      <w:u w:val="single"/>
      <w:lang w:val="ru-RU" w:eastAsia="ru-RU"/>
    </w:rPr>
  </w:style>
  <w:style w:type="character" w:customStyle="1" w:styleId="Text1Char">
    <w:name w:val="Text 1 Char"/>
    <w:link w:val="Text1"/>
    <w:locked/>
    <w:rsid w:val="00C65927"/>
    <w:rPr>
      <w:rFonts w:ascii="Times New Roman" w:eastAsia="Times New Roman" w:hAnsi="Times New Roman"/>
      <w:kern w:val="28"/>
      <w:sz w:val="24"/>
    </w:rPr>
  </w:style>
  <w:style w:type="paragraph" w:customStyle="1" w:styleId="TableCenter">
    <w:name w:val="Table Center"/>
    <w:autoRedefine/>
    <w:rsid w:val="00C65927"/>
    <w:pPr>
      <w:spacing w:after="60"/>
      <w:jc w:val="center"/>
    </w:pPr>
    <w:rPr>
      <w:rFonts w:ascii="Times New Roman" w:eastAsia="Arial Unicode MS" w:hAnsi="Times New Roman"/>
      <w:szCs w:val="24"/>
    </w:rPr>
  </w:style>
  <w:style w:type="paragraph" w:customStyle="1" w:styleId="TableLeft">
    <w:name w:val="Table Left"/>
    <w:basedOn w:val="a1"/>
    <w:autoRedefine/>
    <w:rsid w:val="00C65927"/>
    <w:pPr>
      <w:tabs>
        <w:tab w:val="left" w:pos="567"/>
      </w:tabs>
      <w:spacing w:after="0" w:line="240" w:lineRule="auto"/>
    </w:pPr>
    <w:rPr>
      <w:rFonts w:ascii="Times New Roman" w:eastAsia="Arial Unicode MS" w:hAnsi="Times New Roman"/>
      <w:kern w:val="28"/>
      <w:sz w:val="20"/>
      <w:szCs w:val="24"/>
      <w:lang w:eastAsia="ru-RU"/>
    </w:rPr>
  </w:style>
  <w:style w:type="paragraph" w:customStyle="1" w:styleId="TableFixedWidth">
    <w:name w:val="Table Fixed Width"/>
    <w:rsid w:val="00C65927"/>
    <w:rPr>
      <w:rFonts w:ascii="Courier New" w:eastAsia="Times New Roman" w:hAnsi="Courier New"/>
    </w:rPr>
  </w:style>
  <w:style w:type="paragraph" w:customStyle="1" w:styleId="TableFootnoteSymbol">
    <w:name w:val="Table Footnote Symbol"/>
    <w:basedOn w:val="a1"/>
    <w:rsid w:val="00C65927"/>
    <w:pPr>
      <w:tabs>
        <w:tab w:val="left" w:pos="360"/>
      </w:tabs>
      <w:spacing w:after="60" w:line="240" w:lineRule="auto"/>
      <w:ind w:left="360" w:hanging="360"/>
    </w:pPr>
    <w:rPr>
      <w:rFonts w:ascii="Times New Roman" w:eastAsia="Arial Unicode MS" w:hAnsi="Times New Roman"/>
      <w:kern w:val="28"/>
      <w:sz w:val="18"/>
      <w:szCs w:val="24"/>
      <w:lang w:eastAsia="ru-RU"/>
    </w:rPr>
  </w:style>
  <w:style w:type="paragraph" w:customStyle="1" w:styleId="TableFootnoteLetter">
    <w:name w:val="Table Footnote Letter"/>
    <w:basedOn w:val="a1"/>
    <w:rsid w:val="00C65927"/>
    <w:pPr>
      <w:numPr>
        <w:numId w:val="45"/>
      </w:numPr>
      <w:spacing w:after="60" w:line="240" w:lineRule="auto"/>
    </w:pPr>
    <w:rPr>
      <w:rFonts w:ascii="Times New Roman" w:eastAsia="Arial Unicode MS" w:hAnsi="Times New Roman"/>
      <w:kern w:val="28"/>
      <w:sz w:val="18"/>
      <w:szCs w:val="24"/>
      <w:lang w:eastAsia="ru-RU"/>
    </w:rPr>
  </w:style>
  <w:style w:type="paragraph" w:customStyle="1" w:styleId="TableEndofTextTitle">
    <w:name w:val="Table End of Text Title"/>
    <w:next w:val="a1"/>
    <w:rsid w:val="00C65927"/>
    <w:rPr>
      <w:rFonts w:ascii="Times New Roman" w:eastAsia="Times New Roman" w:hAnsi="Times New Roman"/>
      <w:b/>
      <w:sz w:val="24"/>
      <w:szCs w:val="24"/>
    </w:rPr>
  </w:style>
  <w:style w:type="paragraph" w:customStyle="1" w:styleId="TableTitleContinued">
    <w:name w:val="Table Title Continued"/>
    <w:basedOn w:val="a1"/>
    <w:rsid w:val="00C65927"/>
    <w:pPr>
      <w:keepNext/>
      <w:keepLines/>
      <w:spacing w:after="120" w:line="240" w:lineRule="auto"/>
    </w:pPr>
    <w:rPr>
      <w:rFonts w:ascii="Times New Roman" w:eastAsia="Arial Unicode MS" w:hAnsi="Times New Roman"/>
      <w:b/>
      <w:kern w:val="28"/>
      <w:sz w:val="20"/>
      <w:szCs w:val="24"/>
      <w:lang w:eastAsia="ru-RU"/>
    </w:rPr>
  </w:style>
  <w:style w:type="paragraph" w:customStyle="1" w:styleId="FigureEndofTextTitle">
    <w:name w:val="Figure End of Text Title"/>
    <w:basedOn w:val="a1"/>
    <w:next w:val="a1"/>
    <w:rsid w:val="00C65927"/>
    <w:pPr>
      <w:keepNext/>
      <w:keepLines/>
      <w:spacing w:after="240" w:line="240" w:lineRule="auto"/>
    </w:pPr>
    <w:rPr>
      <w:rFonts w:ascii="Times New Roman" w:eastAsia="Times New Roman" w:hAnsi="Times New Roman"/>
      <w:b/>
      <w:kern w:val="28"/>
      <w:sz w:val="24"/>
      <w:szCs w:val="24"/>
      <w:lang w:eastAsia="ru-RU"/>
    </w:rPr>
  </w:style>
  <w:style w:type="paragraph" w:styleId="20">
    <w:name w:val="List Number 2"/>
    <w:basedOn w:val="a"/>
    <w:uiPriority w:val="99"/>
    <w:rsid w:val="00C65927"/>
    <w:pPr>
      <w:numPr>
        <w:numId w:val="33"/>
      </w:numPr>
      <w:tabs>
        <w:tab w:val="clear" w:pos="360"/>
        <w:tab w:val="num" w:pos="720"/>
      </w:tabs>
      <w:ind w:left="720"/>
    </w:pPr>
    <w:rPr>
      <w:rFonts w:eastAsia="Arial Unicode MS"/>
      <w:sz w:val="24"/>
      <w:szCs w:val="24"/>
    </w:rPr>
  </w:style>
  <w:style w:type="paragraph" w:styleId="a">
    <w:name w:val="List Number"/>
    <w:basedOn w:val="a1"/>
    <w:uiPriority w:val="99"/>
    <w:rsid w:val="00C65927"/>
    <w:pPr>
      <w:numPr>
        <w:numId w:val="36"/>
      </w:numPr>
      <w:spacing w:after="0" w:line="240" w:lineRule="auto"/>
      <w:ind w:left="36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3">
    <w:name w:val="List Number 3"/>
    <w:basedOn w:val="a1"/>
    <w:uiPriority w:val="99"/>
    <w:rsid w:val="00C65927"/>
    <w:pPr>
      <w:numPr>
        <w:numId w:val="46"/>
      </w:numPr>
      <w:spacing w:after="0" w:line="240" w:lineRule="auto"/>
    </w:pPr>
    <w:rPr>
      <w:rFonts w:ascii="Times New Roman" w:eastAsia="Times New Roman" w:hAnsi="Times New Roman"/>
      <w:kern w:val="28"/>
      <w:szCs w:val="20"/>
      <w:lang w:eastAsia="ru-RU"/>
    </w:rPr>
  </w:style>
  <w:style w:type="paragraph" w:customStyle="1" w:styleId="ListLetter2">
    <w:name w:val="List Letter 2"/>
    <w:basedOn w:val="a1"/>
    <w:rsid w:val="00C65927"/>
    <w:pPr>
      <w:numPr>
        <w:numId w:val="47"/>
      </w:numPr>
      <w:spacing w:after="0" w:line="240" w:lineRule="auto"/>
    </w:pPr>
    <w:rPr>
      <w:rFonts w:ascii="Times New Roman" w:eastAsia="Arial Unicode MS" w:hAnsi="Times New Roman"/>
      <w:kern w:val="28"/>
      <w:sz w:val="24"/>
      <w:szCs w:val="24"/>
      <w:lang w:eastAsia="ru-RU"/>
    </w:rPr>
  </w:style>
  <w:style w:type="paragraph" w:customStyle="1" w:styleId="ListLetter3">
    <w:name w:val="List Letter 3"/>
    <w:basedOn w:val="a1"/>
    <w:rsid w:val="00C65927"/>
    <w:pPr>
      <w:numPr>
        <w:numId w:val="48"/>
      </w:numPr>
      <w:spacing w:after="0" w:line="240" w:lineRule="auto"/>
    </w:pPr>
    <w:rPr>
      <w:rFonts w:ascii="Times New Roman" w:eastAsia="Arial Unicode MS" w:hAnsi="Times New Roman"/>
      <w:kern w:val="28"/>
      <w:sz w:val="24"/>
      <w:szCs w:val="24"/>
      <w:lang w:eastAsia="ru-RU"/>
    </w:rPr>
  </w:style>
  <w:style w:type="paragraph" w:customStyle="1" w:styleId="EMEAstyle1">
    <w:name w:val="EMEA style 1"/>
    <w:basedOn w:val="a1"/>
    <w:rsid w:val="00C65927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Cs w:val="20"/>
      <w:lang w:eastAsia="ru-RU"/>
    </w:rPr>
  </w:style>
  <w:style w:type="paragraph" w:customStyle="1" w:styleId="EMEAstyle2">
    <w:name w:val="EMEA style 2"/>
    <w:basedOn w:val="a1"/>
    <w:rsid w:val="00C65927"/>
    <w:pPr>
      <w:numPr>
        <w:numId w:val="30"/>
      </w:numPr>
      <w:tabs>
        <w:tab w:val="clear" w:pos="643"/>
      </w:tabs>
      <w:spacing w:after="0" w:line="240" w:lineRule="auto"/>
      <w:ind w:left="1701" w:right="1416" w:hanging="567"/>
    </w:pPr>
    <w:rPr>
      <w:rFonts w:ascii="Times New Roman" w:eastAsia="Times New Roman" w:hAnsi="Times New Roman"/>
      <w:b/>
      <w:kern w:val="28"/>
      <w:szCs w:val="20"/>
      <w:lang w:eastAsia="ru-RU"/>
    </w:rPr>
  </w:style>
  <w:style w:type="paragraph" w:customStyle="1" w:styleId="EMEAStyle20">
    <w:name w:val="EMEA Style 2"/>
    <w:basedOn w:val="a1"/>
    <w:rsid w:val="00C65927"/>
    <w:pPr>
      <w:numPr>
        <w:numId w:val="41"/>
      </w:numPr>
      <w:spacing w:after="0" w:line="240" w:lineRule="auto"/>
      <w:ind w:left="1701" w:right="1416" w:hanging="567"/>
    </w:pPr>
    <w:rPr>
      <w:rFonts w:ascii="Times New Roman" w:eastAsia="Times New Roman" w:hAnsi="Times New Roman"/>
      <w:b/>
      <w:kern w:val="28"/>
      <w:szCs w:val="20"/>
      <w:lang w:eastAsia="ru-RU"/>
    </w:rPr>
  </w:style>
  <w:style w:type="paragraph" w:styleId="aff7">
    <w:name w:val="Body Text First Indent"/>
    <w:basedOn w:val="ab"/>
    <w:link w:val="aff8"/>
    <w:uiPriority w:val="99"/>
    <w:rsid w:val="00C65927"/>
    <w:pPr>
      <w:ind w:firstLine="210"/>
    </w:pPr>
    <w:rPr>
      <w:color w:val="008000"/>
      <w:kern w:val="28"/>
      <w:sz w:val="22"/>
    </w:rPr>
  </w:style>
  <w:style w:type="character" w:customStyle="1" w:styleId="aff8">
    <w:name w:val="Красная строка Знак"/>
    <w:link w:val="aff7"/>
    <w:uiPriority w:val="99"/>
    <w:rsid w:val="00C65927"/>
    <w:rPr>
      <w:rFonts w:ascii="Times New Roman" w:eastAsia="Times New Roman" w:hAnsi="Times New Roman" w:cs="Times New Roman"/>
      <w:color w:val="008000"/>
      <w:kern w:val="28"/>
      <w:sz w:val="22"/>
      <w:szCs w:val="20"/>
      <w:lang w:val="ru-RU" w:eastAsia="ru-RU"/>
    </w:rPr>
  </w:style>
  <w:style w:type="paragraph" w:styleId="29">
    <w:name w:val="Body Text First Indent 2"/>
    <w:basedOn w:val="a9"/>
    <w:link w:val="2a"/>
    <w:uiPriority w:val="99"/>
    <w:rsid w:val="00C65927"/>
    <w:pPr>
      <w:ind w:firstLine="210"/>
    </w:pPr>
    <w:rPr>
      <w:kern w:val="28"/>
      <w:sz w:val="22"/>
    </w:rPr>
  </w:style>
  <w:style w:type="character" w:customStyle="1" w:styleId="2a">
    <w:name w:val="Красная строка 2 Знак"/>
    <w:link w:val="29"/>
    <w:uiPriority w:val="99"/>
    <w:rsid w:val="00C65927"/>
    <w:rPr>
      <w:rFonts w:ascii="Times New Roman" w:eastAsia="Times New Roman" w:hAnsi="Times New Roman" w:cs="Times New Roman"/>
      <w:kern w:val="28"/>
      <w:sz w:val="22"/>
      <w:szCs w:val="20"/>
      <w:lang w:val="ru-RU" w:eastAsia="ru-RU"/>
    </w:rPr>
  </w:style>
  <w:style w:type="paragraph" w:styleId="aff9">
    <w:name w:val="Closing"/>
    <w:basedOn w:val="a1"/>
    <w:link w:val="affa"/>
    <w:uiPriority w:val="99"/>
    <w:rsid w:val="00C65927"/>
    <w:pPr>
      <w:spacing w:after="0" w:line="240" w:lineRule="auto"/>
      <w:ind w:left="4252"/>
    </w:pPr>
    <w:rPr>
      <w:rFonts w:ascii="Times New Roman" w:eastAsia="Times New Roman" w:hAnsi="Times New Roman"/>
      <w:kern w:val="28"/>
      <w:szCs w:val="20"/>
      <w:lang w:eastAsia="ru-RU"/>
    </w:rPr>
  </w:style>
  <w:style w:type="character" w:customStyle="1" w:styleId="affa">
    <w:name w:val="Прощание Знак"/>
    <w:link w:val="aff9"/>
    <w:uiPriority w:val="99"/>
    <w:rsid w:val="00C65927"/>
    <w:rPr>
      <w:rFonts w:ascii="Times New Roman" w:eastAsia="Times New Roman" w:hAnsi="Times New Roman"/>
      <w:kern w:val="28"/>
      <w:sz w:val="22"/>
    </w:rPr>
  </w:style>
  <w:style w:type="paragraph" w:styleId="affb">
    <w:name w:val="Date"/>
    <w:basedOn w:val="a1"/>
    <w:next w:val="a1"/>
    <w:link w:val="affc"/>
    <w:uiPriority w:val="99"/>
    <w:rsid w:val="00C65927"/>
    <w:pPr>
      <w:spacing w:after="0" w:line="240" w:lineRule="auto"/>
    </w:pPr>
    <w:rPr>
      <w:rFonts w:ascii="Times New Roman" w:eastAsia="Times New Roman" w:hAnsi="Times New Roman"/>
      <w:kern w:val="28"/>
      <w:szCs w:val="20"/>
      <w:lang w:eastAsia="ru-RU"/>
    </w:rPr>
  </w:style>
  <w:style w:type="character" w:customStyle="1" w:styleId="affc">
    <w:name w:val="Дата Знак"/>
    <w:link w:val="affb"/>
    <w:uiPriority w:val="99"/>
    <w:rsid w:val="00C65927"/>
    <w:rPr>
      <w:rFonts w:ascii="Times New Roman" w:eastAsia="Times New Roman" w:hAnsi="Times New Roman"/>
      <w:kern w:val="28"/>
      <w:sz w:val="22"/>
    </w:rPr>
  </w:style>
  <w:style w:type="paragraph" w:styleId="affd">
    <w:name w:val="E-mail Signature"/>
    <w:basedOn w:val="a1"/>
    <w:link w:val="affe"/>
    <w:uiPriority w:val="99"/>
    <w:rsid w:val="00C65927"/>
    <w:pPr>
      <w:spacing w:after="0" w:line="240" w:lineRule="auto"/>
    </w:pPr>
    <w:rPr>
      <w:rFonts w:ascii="Times New Roman" w:eastAsia="Times New Roman" w:hAnsi="Times New Roman"/>
      <w:kern w:val="28"/>
      <w:szCs w:val="20"/>
      <w:lang w:eastAsia="ru-RU"/>
    </w:rPr>
  </w:style>
  <w:style w:type="character" w:customStyle="1" w:styleId="affe">
    <w:name w:val="Электронная подпись Знак"/>
    <w:link w:val="affd"/>
    <w:uiPriority w:val="99"/>
    <w:rsid w:val="00C65927"/>
    <w:rPr>
      <w:rFonts w:ascii="Times New Roman" w:eastAsia="Times New Roman" w:hAnsi="Times New Roman"/>
      <w:kern w:val="28"/>
      <w:sz w:val="22"/>
    </w:rPr>
  </w:style>
  <w:style w:type="paragraph" w:styleId="afff">
    <w:name w:val="envelope address"/>
    <w:basedOn w:val="a1"/>
    <w:uiPriority w:val="99"/>
    <w:rsid w:val="00C6592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styleId="2b">
    <w:name w:val="envelope return"/>
    <w:basedOn w:val="a1"/>
    <w:uiPriority w:val="99"/>
    <w:rsid w:val="00C65927"/>
    <w:pPr>
      <w:spacing w:after="0" w:line="240" w:lineRule="auto"/>
    </w:pPr>
    <w:rPr>
      <w:rFonts w:ascii="Arial" w:eastAsia="Times New Roman" w:hAnsi="Arial" w:cs="Arial"/>
      <w:kern w:val="28"/>
      <w:sz w:val="20"/>
      <w:szCs w:val="20"/>
      <w:lang w:eastAsia="ru-RU"/>
    </w:rPr>
  </w:style>
  <w:style w:type="paragraph" w:styleId="afff0">
    <w:name w:val="footnote text"/>
    <w:basedOn w:val="a1"/>
    <w:link w:val="afff1"/>
    <w:uiPriority w:val="99"/>
    <w:rsid w:val="00C65927"/>
    <w:pPr>
      <w:spacing w:after="0" w:line="240" w:lineRule="auto"/>
    </w:pPr>
    <w:rPr>
      <w:rFonts w:ascii="Times New Roman" w:eastAsia="Times New Roman" w:hAnsi="Times New Roman"/>
      <w:kern w:val="28"/>
      <w:sz w:val="20"/>
      <w:szCs w:val="20"/>
      <w:lang w:eastAsia="ru-RU"/>
    </w:rPr>
  </w:style>
  <w:style w:type="character" w:customStyle="1" w:styleId="afff1">
    <w:name w:val="Текст сноски Знак"/>
    <w:link w:val="afff0"/>
    <w:uiPriority w:val="99"/>
    <w:rsid w:val="00C65927"/>
    <w:rPr>
      <w:rFonts w:ascii="Times New Roman" w:eastAsia="Times New Roman" w:hAnsi="Times New Roman"/>
      <w:kern w:val="28"/>
    </w:rPr>
  </w:style>
  <w:style w:type="paragraph" w:styleId="HTML">
    <w:name w:val="HTML Address"/>
    <w:basedOn w:val="a1"/>
    <w:link w:val="HTML0"/>
    <w:uiPriority w:val="99"/>
    <w:rsid w:val="00C65927"/>
    <w:pPr>
      <w:spacing w:after="0" w:line="240" w:lineRule="auto"/>
    </w:pPr>
    <w:rPr>
      <w:rFonts w:ascii="Times New Roman" w:eastAsia="Times New Roman" w:hAnsi="Times New Roman"/>
      <w:i/>
      <w:iCs/>
      <w:kern w:val="28"/>
      <w:szCs w:val="20"/>
      <w:lang w:eastAsia="ru-RU"/>
    </w:rPr>
  </w:style>
  <w:style w:type="character" w:customStyle="1" w:styleId="HTML0">
    <w:name w:val="Адрес HTML Знак"/>
    <w:link w:val="HTML"/>
    <w:uiPriority w:val="99"/>
    <w:rsid w:val="00C65927"/>
    <w:rPr>
      <w:rFonts w:ascii="Times New Roman" w:eastAsia="Times New Roman" w:hAnsi="Times New Roman"/>
      <w:i/>
      <w:iCs/>
      <w:kern w:val="28"/>
      <w:sz w:val="22"/>
    </w:rPr>
  </w:style>
  <w:style w:type="paragraph" w:styleId="HTML1">
    <w:name w:val="HTML Preformatted"/>
    <w:basedOn w:val="a1"/>
    <w:link w:val="HTML2"/>
    <w:uiPriority w:val="99"/>
    <w:rsid w:val="00C65927"/>
    <w:pPr>
      <w:spacing w:after="0" w:line="240" w:lineRule="auto"/>
    </w:pPr>
    <w:rPr>
      <w:rFonts w:ascii="Courier New" w:eastAsia="Times New Roman" w:hAnsi="Courier New"/>
      <w:kern w:val="28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C65927"/>
    <w:rPr>
      <w:rFonts w:ascii="Courier New" w:eastAsia="Times New Roman" w:hAnsi="Courier New"/>
      <w:kern w:val="28"/>
    </w:rPr>
  </w:style>
  <w:style w:type="paragraph" w:styleId="15">
    <w:name w:val="index 1"/>
    <w:basedOn w:val="a1"/>
    <w:next w:val="a1"/>
    <w:autoRedefine/>
    <w:uiPriority w:val="99"/>
    <w:rsid w:val="00C65927"/>
    <w:pPr>
      <w:spacing w:after="0" w:line="240" w:lineRule="auto"/>
      <w:ind w:left="22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2c">
    <w:name w:val="index 2"/>
    <w:basedOn w:val="a1"/>
    <w:next w:val="a1"/>
    <w:autoRedefine/>
    <w:uiPriority w:val="99"/>
    <w:rsid w:val="00C65927"/>
    <w:pPr>
      <w:spacing w:after="0" w:line="240" w:lineRule="auto"/>
      <w:ind w:left="44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36">
    <w:name w:val="index 3"/>
    <w:basedOn w:val="a1"/>
    <w:next w:val="a1"/>
    <w:autoRedefine/>
    <w:uiPriority w:val="99"/>
    <w:rsid w:val="00C65927"/>
    <w:pPr>
      <w:spacing w:after="0" w:line="240" w:lineRule="auto"/>
      <w:ind w:left="66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42">
    <w:name w:val="index 4"/>
    <w:basedOn w:val="a1"/>
    <w:next w:val="a1"/>
    <w:autoRedefine/>
    <w:uiPriority w:val="99"/>
    <w:rsid w:val="00C65927"/>
    <w:pPr>
      <w:spacing w:after="0" w:line="240" w:lineRule="auto"/>
      <w:ind w:left="88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52">
    <w:name w:val="index 5"/>
    <w:basedOn w:val="a1"/>
    <w:next w:val="a1"/>
    <w:autoRedefine/>
    <w:uiPriority w:val="99"/>
    <w:rsid w:val="00C65927"/>
    <w:pPr>
      <w:spacing w:after="0" w:line="240" w:lineRule="auto"/>
      <w:ind w:left="110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61">
    <w:name w:val="index 6"/>
    <w:basedOn w:val="a1"/>
    <w:next w:val="a1"/>
    <w:autoRedefine/>
    <w:uiPriority w:val="99"/>
    <w:rsid w:val="00C65927"/>
    <w:pPr>
      <w:spacing w:after="0" w:line="240" w:lineRule="auto"/>
      <w:ind w:left="132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71">
    <w:name w:val="index 7"/>
    <w:basedOn w:val="a1"/>
    <w:next w:val="a1"/>
    <w:autoRedefine/>
    <w:uiPriority w:val="99"/>
    <w:rsid w:val="00C65927"/>
    <w:pPr>
      <w:spacing w:after="0" w:line="240" w:lineRule="auto"/>
      <w:ind w:left="154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81">
    <w:name w:val="index 8"/>
    <w:basedOn w:val="a1"/>
    <w:next w:val="a1"/>
    <w:autoRedefine/>
    <w:uiPriority w:val="99"/>
    <w:rsid w:val="00C65927"/>
    <w:pPr>
      <w:spacing w:after="0" w:line="240" w:lineRule="auto"/>
      <w:ind w:left="176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91">
    <w:name w:val="index 9"/>
    <w:basedOn w:val="a1"/>
    <w:next w:val="a1"/>
    <w:autoRedefine/>
    <w:uiPriority w:val="99"/>
    <w:rsid w:val="00C65927"/>
    <w:pPr>
      <w:spacing w:after="0" w:line="240" w:lineRule="auto"/>
      <w:ind w:left="198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afff2">
    <w:name w:val="index heading"/>
    <w:basedOn w:val="a1"/>
    <w:next w:val="15"/>
    <w:uiPriority w:val="99"/>
    <w:rsid w:val="00C65927"/>
    <w:pPr>
      <w:spacing w:after="0" w:line="240" w:lineRule="auto"/>
    </w:pPr>
    <w:rPr>
      <w:rFonts w:ascii="Arial" w:eastAsia="Times New Roman" w:hAnsi="Arial" w:cs="Arial"/>
      <w:b/>
      <w:bCs/>
      <w:kern w:val="28"/>
      <w:szCs w:val="20"/>
      <w:lang w:eastAsia="ru-RU"/>
    </w:rPr>
  </w:style>
  <w:style w:type="paragraph" w:styleId="afff3">
    <w:name w:val="List"/>
    <w:basedOn w:val="a1"/>
    <w:uiPriority w:val="99"/>
    <w:rsid w:val="00C65927"/>
    <w:pPr>
      <w:spacing w:after="0" w:line="240" w:lineRule="auto"/>
      <w:ind w:left="283" w:hanging="283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2d">
    <w:name w:val="List 2"/>
    <w:basedOn w:val="a1"/>
    <w:uiPriority w:val="99"/>
    <w:rsid w:val="00C65927"/>
    <w:pPr>
      <w:spacing w:after="0" w:line="240" w:lineRule="auto"/>
      <w:ind w:left="566" w:hanging="283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37">
    <w:name w:val="List 3"/>
    <w:basedOn w:val="a1"/>
    <w:uiPriority w:val="99"/>
    <w:rsid w:val="00C65927"/>
    <w:pPr>
      <w:spacing w:after="0" w:line="240" w:lineRule="auto"/>
      <w:ind w:left="849" w:hanging="283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43">
    <w:name w:val="List 4"/>
    <w:basedOn w:val="a1"/>
    <w:uiPriority w:val="99"/>
    <w:rsid w:val="00C65927"/>
    <w:pPr>
      <w:spacing w:after="0" w:line="240" w:lineRule="auto"/>
      <w:ind w:left="1132" w:hanging="283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53">
    <w:name w:val="List 5"/>
    <w:basedOn w:val="a1"/>
    <w:uiPriority w:val="99"/>
    <w:rsid w:val="00C65927"/>
    <w:pPr>
      <w:spacing w:after="0" w:line="240" w:lineRule="auto"/>
      <w:ind w:left="1415" w:hanging="283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afff4">
    <w:name w:val="List Bullet"/>
    <w:basedOn w:val="a1"/>
    <w:uiPriority w:val="99"/>
    <w:rsid w:val="00C65927"/>
    <w:pPr>
      <w:tabs>
        <w:tab w:val="num" w:pos="720"/>
      </w:tabs>
      <w:spacing w:after="0" w:line="240" w:lineRule="auto"/>
      <w:ind w:left="360" w:hanging="36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2">
    <w:name w:val="List Bullet 2"/>
    <w:basedOn w:val="a1"/>
    <w:uiPriority w:val="99"/>
    <w:rsid w:val="00C65927"/>
    <w:pPr>
      <w:numPr>
        <w:numId w:val="31"/>
      </w:numPr>
      <w:tabs>
        <w:tab w:val="clear" w:pos="360"/>
        <w:tab w:val="num" w:pos="643"/>
        <w:tab w:val="num" w:pos="720"/>
      </w:tabs>
      <w:spacing w:after="0" w:line="240" w:lineRule="auto"/>
      <w:ind w:left="643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38">
    <w:name w:val="List Bullet 3"/>
    <w:basedOn w:val="a1"/>
    <w:uiPriority w:val="99"/>
    <w:rsid w:val="00C65927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4">
    <w:name w:val="List Bullet 4"/>
    <w:basedOn w:val="a1"/>
    <w:uiPriority w:val="99"/>
    <w:rsid w:val="00C65927"/>
    <w:pPr>
      <w:numPr>
        <w:numId w:val="40"/>
      </w:numPr>
      <w:tabs>
        <w:tab w:val="clear" w:pos="570"/>
        <w:tab w:val="num" w:pos="1209"/>
      </w:tabs>
      <w:spacing w:after="0" w:line="240" w:lineRule="auto"/>
      <w:ind w:left="1209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54">
    <w:name w:val="List Bullet 5"/>
    <w:basedOn w:val="a1"/>
    <w:uiPriority w:val="99"/>
    <w:rsid w:val="00C65927"/>
    <w:pPr>
      <w:tabs>
        <w:tab w:val="num" w:pos="814"/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afff5">
    <w:name w:val="List Continue"/>
    <w:basedOn w:val="a1"/>
    <w:uiPriority w:val="99"/>
    <w:rsid w:val="00C65927"/>
    <w:pPr>
      <w:spacing w:after="120" w:line="240" w:lineRule="auto"/>
      <w:ind w:left="283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2e">
    <w:name w:val="List Continue 2"/>
    <w:basedOn w:val="a1"/>
    <w:uiPriority w:val="99"/>
    <w:rsid w:val="00C65927"/>
    <w:pPr>
      <w:spacing w:after="120" w:line="240" w:lineRule="auto"/>
      <w:ind w:left="566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39">
    <w:name w:val="List Continue 3"/>
    <w:basedOn w:val="a1"/>
    <w:uiPriority w:val="99"/>
    <w:rsid w:val="00C65927"/>
    <w:pPr>
      <w:spacing w:after="120" w:line="240" w:lineRule="auto"/>
      <w:ind w:left="849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44">
    <w:name w:val="List Continue 4"/>
    <w:basedOn w:val="a1"/>
    <w:uiPriority w:val="99"/>
    <w:rsid w:val="00C65927"/>
    <w:pPr>
      <w:spacing w:after="120" w:line="240" w:lineRule="auto"/>
      <w:ind w:left="1132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55">
    <w:name w:val="List Continue 5"/>
    <w:basedOn w:val="a1"/>
    <w:uiPriority w:val="99"/>
    <w:rsid w:val="00C65927"/>
    <w:pPr>
      <w:spacing w:after="120" w:line="240" w:lineRule="auto"/>
      <w:ind w:left="1415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45">
    <w:name w:val="List Number 4"/>
    <w:basedOn w:val="a1"/>
    <w:uiPriority w:val="99"/>
    <w:rsid w:val="00C65927"/>
    <w:pPr>
      <w:tabs>
        <w:tab w:val="num" w:pos="560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5">
    <w:name w:val="List Number 5"/>
    <w:basedOn w:val="a1"/>
    <w:uiPriority w:val="99"/>
    <w:rsid w:val="00C65927"/>
    <w:pPr>
      <w:numPr>
        <w:numId w:val="43"/>
      </w:numPr>
      <w:tabs>
        <w:tab w:val="clear" w:pos="720"/>
        <w:tab w:val="num" w:pos="1492"/>
      </w:tabs>
      <w:spacing w:after="0" w:line="240" w:lineRule="auto"/>
      <w:ind w:left="1492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afff6">
    <w:name w:val="macro"/>
    <w:link w:val="afff7"/>
    <w:uiPriority w:val="99"/>
    <w:rsid w:val="00C659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eastAsia="Times New Roman" w:hAnsi="Courier New" w:cs="Courier New"/>
    </w:rPr>
  </w:style>
  <w:style w:type="character" w:customStyle="1" w:styleId="afff7">
    <w:name w:val="Текст макроса Знак"/>
    <w:link w:val="afff6"/>
    <w:uiPriority w:val="99"/>
    <w:rsid w:val="00C65927"/>
    <w:rPr>
      <w:rFonts w:ascii="Courier New" w:eastAsia="Times New Roman" w:hAnsi="Courier New" w:cs="Courier New"/>
    </w:rPr>
  </w:style>
  <w:style w:type="paragraph" w:styleId="afff8">
    <w:name w:val="Message Header"/>
    <w:basedOn w:val="a1"/>
    <w:link w:val="afff9"/>
    <w:uiPriority w:val="99"/>
    <w:rsid w:val="00C659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kern w:val="28"/>
      <w:sz w:val="24"/>
      <w:szCs w:val="24"/>
      <w:lang w:eastAsia="ru-RU"/>
    </w:rPr>
  </w:style>
  <w:style w:type="character" w:customStyle="1" w:styleId="afff9">
    <w:name w:val="Шапка Знак"/>
    <w:link w:val="afff8"/>
    <w:uiPriority w:val="99"/>
    <w:rsid w:val="00C65927"/>
    <w:rPr>
      <w:rFonts w:ascii="Arial" w:eastAsia="Times New Roman" w:hAnsi="Arial"/>
      <w:kern w:val="28"/>
      <w:sz w:val="24"/>
      <w:szCs w:val="24"/>
      <w:shd w:val="pct20" w:color="auto" w:fill="auto"/>
    </w:rPr>
  </w:style>
  <w:style w:type="paragraph" w:styleId="afffa">
    <w:name w:val="Normal Indent"/>
    <w:basedOn w:val="a1"/>
    <w:uiPriority w:val="99"/>
    <w:rsid w:val="00C65927"/>
    <w:pPr>
      <w:spacing w:after="0" w:line="240" w:lineRule="auto"/>
      <w:ind w:left="7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afffb">
    <w:name w:val="Note Heading"/>
    <w:basedOn w:val="a1"/>
    <w:next w:val="a1"/>
    <w:link w:val="afffc"/>
    <w:uiPriority w:val="99"/>
    <w:rsid w:val="00C65927"/>
    <w:pPr>
      <w:spacing w:after="0" w:line="240" w:lineRule="auto"/>
    </w:pPr>
    <w:rPr>
      <w:rFonts w:ascii="Times New Roman" w:eastAsia="Times New Roman" w:hAnsi="Times New Roman"/>
      <w:kern w:val="28"/>
      <w:szCs w:val="20"/>
      <w:lang w:eastAsia="ru-RU"/>
    </w:rPr>
  </w:style>
  <w:style w:type="character" w:customStyle="1" w:styleId="afffc">
    <w:name w:val="Заголовок записки Знак"/>
    <w:link w:val="afffb"/>
    <w:uiPriority w:val="99"/>
    <w:rsid w:val="00C65927"/>
    <w:rPr>
      <w:rFonts w:ascii="Times New Roman" w:eastAsia="Times New Roman" w:hAnsi="Times New Roman"/>
      <w:kern w:val="28"/>
      <w:sz w:val="22"/>
    </w:rPr>
  </w:style>
  <w:style w:type="paragraph" w:styleId="afffd">
    <w:name w:val="Plain Text"/>
    <w:basedOn w:val="a1"/>
    <w:link w:val="afffe"/>
    <w:uiPriority w:val="99"/>
    <w:rsid w:val="00C65927"/>
    <w:pPr>
      <w:spacing w:after="0" w:line="240" w:lineRule="auto"/>
    </w:pPr>
    <w:rPr>
      <w:rFonts w:ascii="Courier New" w:eastAsia="Times New Roman" w:hAnsi="Courier New"/>
      <w:kern w:val="28"/>
      <w:sz w:val="20"/>
      <w:szCs w:val="20"/>
      <w:lang w:eastAsia="ru-RU"/>
    </w:rPr>
  </w:style>
  <w:style w:type="character" w:customStyle="1" w:styleId="afffe">
    <w:name w:val="Текст Знак"/>
    <w:link w:val="afffd"/>
    <w:uiPriority w:val="99"/>
    <w:rsid w:val="00C65927"/>
    <w:rPr>
      <w:rFonts w:ascii="Courier New" w:eastAsia="Times New Roman" w:hAnsi="Courier New"/>
      <w:kern w:val="28"/>
    </w:rPr>
  </w:style>
  <w:style w:type="paragraph" w:styleId="affff">
    <w:name w:val="Salutation"/>
    <w:basedOn w:val="a1"/>
    <w:next w:val="a1"/>
    <w:link w:val="affff0"/>
    <w:uiPriority w:val="99"/>
    <w:rsid w:val="00C65927"/>
    <w:pPr>
      <w:spacing w:after="0" w:line="240" w:lineRule="auto"/>
    </w:pPr>
    <w:rPr>
      <w:rFonts w:ascii="Times New Roman" w:eastAsia="Times New Roman" w:hAnsi="Times New Roman"/>
      <w:kern w:val="28"/>
      <w:szCs w:val="20"/>
      <w:lang w:eastAsia="ru-RU"/>
    </w:rPr>
  </w:style>
  <w:style w:type="character" w:customStyle="1" w:styleId="affff0">
    <w:name w:val="Приветствие Знак"/>
    <w:link w:val="affff"/>
    <w:uiPriority w:val="99"/>
    <w:rsid w:val="00C65927"/>
    <w:rPr>
      <w:rFonts w:ascii="Times New Roman" w:eastAsia="Times New Roman" w:hAnsi="Times New Roman"/>
      <w:kern w:val="28"/>
      <w:sz w:val="22"/>
    </w:rPr>
  </w:style>
  <w:style w:type="paragraph" w:styleId="affff1">
    <w:name w:val="Signature"/>
    <w:basedOn w:val="a1"/>
    <w:link w:val="affff2"/>
    <w:uiPriority w:val="99"/>
    <w:rsid w:val="00C65927"/>
    <w:pPr>
      <w:spacing w:after="0" w:line="240" w:lineRule="auto"/>
      <w:ind w:left="4252"/>
    </w:pPr>
    <w:rPr>
      <w:rFonts w:ascii="Times New Roman" w:eastAsia="Times New Roman" w:hAnsi="Times New Roman"/>
      <w:kern w:val="28"/>
      <w:szCs w:val="20"/>
      <w:lang w:eastAsia="ru-RU"/>
    </w:rPr>
  </w:style>
  <w:style w:type="character" w:customStyle="1" w:styleId="affff2">
    <w:name w:val="Подпись Знак"/>
    <w:link w:val="affff1"/>
    <w:uiPriority w:val="99"/>
    <w:rsid w:val="00C65927"/>
    <w:rPr>
      <w:rFonts w:ascii="Times New Roman" w:eastAsia="Times New Roman" w:hAnsi="Times New Roman"/>
      <w:kern w:val="28"/>
      <w:sz w:val="22"/>
    </w:rPr>
  </w:style>
  <w:style w:type="paragraph" w:styleId="affff3">
    <w:name w:val="table of authorities"/>
    <w:basedOn w:val="a1"/>
    <w:next w:val="a1"/>
    <w:uiPriority w:val="99"/>
    <w:rsid w:val="00C65927"/>
    <w:pPr>
      <w:spacing w:after="0" w:line="240" w:lineRule="auto"/>
      <w:ind w:left="220" w:hanging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affff4">
    <w:name w:val="table of figures"/>
    <w:basedOn w:val="a1"/>
    <w:next w:val="a1"/>
    <w:uiPriority w:val="99"/>
    <w:rsid w:val="00C65927"/>
    <w:pPr>
      <w:spacing w:after="0" w:line="240" w:lineRule="auto"/>
    </w:pPr>
    <w:rPr>
      <w:rFonts w:ascii="Times New Roman" w:eastAsia="Times New Roman" w:hAnsi="Times New Roman"/>
      <w:kern w:val="28"/>
      <w:szCs w:val="20"/>
      <w:lang w:eastAsia="ru-RU"/>
    </w:rPr>
  </w:style>
  <w:style w:type="character" w:customStyle="1" w:styleId="affff5">
    <w:name w:val="Заголовок Знак"/>
    <w:uiPriority w:val="10"/>
    <w:locked/>
    <w:rsid w:val="00C65927"/>
    <w:rPr>
      <w:rFonts w:ascii="Arial" w:hAnsi="Arial"/>
      <w:b/>
      <w:kern w:val="28"/>
      <w:sz w:val="32"/>
      <w:lang w:val="ru-RU" w:eastAsia="ru-RU"/>
    </w:rPr>
  </w:style>
  <w:style w:type="paragraph" w:styleId="affff6">
    <w:name w:val="toa heading"/>
    <w:basedOn w:val="a1"/>
    <w:next w:val="a1"/>
    <w:uiPriority w:val="99"/>
    <w:rsid w:val="00C65927"/>
    <w:pPr>
      <w:spacing w:before="120" w:after="0" w:line="240" w:lineRule="auto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paragraph" w:styleId="16">
    <w:name w:val="toc 1"/>
    <w:basedOn w:val="a1"/>
    <w:next w:val="a1"/>
    <w:autoRedefine/>
    <w:uiPriority w:val="39"/>
    <w:rsid w:val="00C65927"/>
    <w:pPr>
      <w:spacing w:after="0" w:line="240" w:lineRule="auto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2f">
    <w:name w:val="toc 2"/>
    <w:basedOn w:val="a1"/>
    <w:next w:val="a1"/>
    <w:autoRedefine/>
    <w:uiPriority w:val="39"/>
    <w:rsid w:val="00C65927"/>
    <w:pPr>
      <w:spacing w:after="0" w:line="240" w:lineRule="auto"/>
      <w:ind w:left="2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3a">
    <w:name w:val="toc 3"/>
    <w:basedOn w:val="a1"/>
    <w:next w:val="a1"/>
    <w:autoRedefine/>
    <w:uiPriority w:val="39"/>
    <w:rsid w:val="00C65927"/>
    <w:pPr>
      <w:spacing w:after="0" w:line="240" w:lineRule="auto"/>
      <w:ind w:left="44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46">
    <w:name w:val="toc 4"/>
    <w:basedOn w:val="a1"/>
    <w:next w:val="a1"/>
    <w:autoRedefine/>
    <w:uiPriority w:val="39"/>
    <w:rsid w:val="00C65927"/>
    <w:pPr>
      <w:spacing w:after="0" w:line="240" w:lineRule="auto"/>
      <w:ind w:left="66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56">
    <w:name w:val="toc 5"/>
    <w:basedOn w:val="a1"/>
    <w:next w:val="a1"/>
    <w:autoRedefine/>
    <w:uiPriority w:val="39"/>
    <w:rsid w:val="00C65927"/>
    <w:pPr>
      <w:spacing w:after="0" w:line="240" w:lineRule="auto"/>
      <w:ind w:left="88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62">
    <w:name w:val="toc 6"/>
    <w:basedOn w:val="a1"/>
    <w:next w:val="a1"/>
    <w:autoRedefine/>
    <w:uiPriority w:val="39"/>
    <w:rsid w:val="00C65927"/>
    <w:pPr>
      <w:spacing w:after="0" w:line="240" w:lineRule="auto"/>
      <w:ind w:left="110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72">
    <w:name w:val="toc 7"/>
    <w:basedOn w:val="a1"/>
    <w:next w:val="a1"/>
    <w:autoRedefine/>
    <w:uiPriority w:val="39"/>
    <w:rsid w:val="00C65927"/>
    <w:pPr>
      <w:spacing w:after="0" w:line="240" w:lineRule="auto"/>
      <w:ind w:left="132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82">
    <w:name w:val="toc 8"/>
    <w:basedOn w:val="a1"/>
    <w:next w:val="a1"/>
    <w:autoRedefine/>
    <w:uiPriority w:val="39"/>
    <w:rsid w:val="00C65927"/>
    <w:pPr>
      <w:spacing w:after="0" w:line="240" w:lineRule="auto"/>
      <w:ind w:left="1540"/>
    </w:pPr>
    <w:rPr>
      <w:rFonts w:ascii="Times New Roman" w:eastAsia="Times New Roman" w:hAnsi="Times New Roman"/>
      <w:kern w:val="28"/>
      <w:szCs w:val="20"/>
      <w:lang w:eastAsia="ru-RU"/>
    </w:rPr>
  </w:style>
  <w:style w:type="paragraph" w:styleId="92">
    <w:name w:val="toc 9"/>
    <w:basedOn w:val="a1"/>
    <w:next w:val="a1"/>
    <w:autoRedefine/>
    <w:uiPriority w:val="39"/>
    <w:rsid w:val="00C65927"/>
    <w:pPr>
      <w:spacing w:after="0" w:line="240" w:lineRule="auto"/>
      <w:ind w:left="1760"/>
    </w:pPr>
    <w:rPr>
      <w:rFonts w:ascii="Times New Roman" w:eastAsia="Times New Roman" w:hAnsi="Times New Roman"/>
      <w:kern w:val="28"/>
      <w:szCs w:val="20"/>
      <w:lang w:eastAsia="ru-RU"/>
    </w:rPr>
  </w:style>
  <w:style w:type="paragraph" w:customStyle="1" w:styleId="bodytextindent40">
    <w:name w:val="bodytextindent4"/>
    <w:basedOn w:val="a1"/>
    <w:rsid w:val="00C65927"/>
    <w:pPr>
      <w:spacing w:after="0" w:line="260" w:lineRule="atLeast"/>
      <w:ind w:left="360" w:hanging="360"/>
    </w:pPr>
    <w:rPr>
      <w:rFonts w:ascii="Times New Roman" w:eastAsia="Times New Roman" w:hAnsi="Times New Roman"/>
      <w:kern w:val="28"/>
      <w:lang w:eastAsia="ru-RU"/>
    </w:rPr>
  </w:style>
  <w:style w:type="paragraph" w:customStyle="1" w:styleId="TableHeading">
    <w:name w:val="Table Heading"/>
    <w:basedOn w:val="a1"/>
    <w:rsid w:val="00C65927"/>
    <w:pPr>
      <w:keepNext/>
      <w:keepLines/>
      <w:spacing w:before="60" w:after="60" w:line="240" w:lineRule="auto"/>
      <w:jc w:val="center"/>
    </w:pPr>
    <w:rPr>
      <w:rFonts w:ascii="Arial" w:eastAsia="Times New Roman" w:hAnsi="Arial"/>
      <w:b/>
      <w:kern w:val="28"/>
      <w:sz w:val="20"/>
      <w:szCs w:val="20"/>
      <w:lang w:eastAsia="ru-RU"/>
    </w:rPr>
  </w:style>
  <w:style w:type="character" w:customStyle="1" w:styleId="aff">
    <w:name w:val="Название объекта Знак"/>
    <w:aliases w:val="Char Знак"/>
    <w:link w:val="afe"/>
    <w:uiPriority w:val="35"/>
    <w:locked/>
    <w:rsid w:val="00C65927"/>
    <w:rPr>
      <w:rFonts w:ascii="Times New Roman" w:eastAsia="Times New Roman" w:hAnsi="Times New Roman"/>
      <w:b/>
      <w:bCs/>
      <w:kern w:val="28"/>
    </w:rPr>
  </w:style>
  <w:style w:type="character" w:customStyle="1" w:styleId="EMEASubscript">
    <w:name w:val="EMEA Subscript"/>
    <w:rsid w:val="00C65927"/>
    <w:rPr>
      <w:sz w:val="22"/>
      <w:vertAlign w:val="subscript"/>
      <w:lang w:val="ru-RU" w:eastAsia="ru-RU"/>
    </w:rPr>
  </w:style>
  <w:style w:type="paragraph" w:customStyle="1" w:styleId="TableCentre">
    <w:name w:val="Table Centre"/>
    <w:basedOn w:val="TableLeft"/>
    <w:rsid w:val="00C65927"/>
    <w:pPr>
      <w:keepNext/>
      <w:keepLines/>
      <w:jc w:val="center"/>
    </w:pPr>
    <w:rPr>
      <w:rFonts w:cs="Arial"/>
    </w:rPr>
  </w:style>
  <w:style w:type="paragraph" w:customStyle="1" w:styleId="Table-Footer">
    <w:name w:val="Table-Footer"/>
    <w:basedOn w:val="a1"/>
    <w:next w:val="a1"/>
    <w:link w:val="Table-FooterChar"/>
    <w:rsid w:val="00C65927"/>
    <w:pPr>
      <w:keepNext/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after="0" w:line="240" w:lineRule="auto"/>
    </w:pPr>
    <w:rPr>
      <w:rFonts w:ascii="Times New Roman" w:eastAsia="Times New Roman" w:hAnsi="Times New Roman"/>
      <w:kern w:val="28"/>
      <w:sz w:val="18"/>
      <w:szCs w:val="20"/>
      <w:lang w:eastAsia="ru-RU"/>
    </w:rPr>
  </w:style>
  <w:style w:type="character" w:customStyle="1" w:styleId="Table-FooterChar">
    <w:name w:val="Table-Footer Char"/>
    <w:link w:val="Table-Footer"/>
    <w:locked/>
    <w:rsid w:val="00C65927"/>
    <w:rPr>
      <w:rFonts w:ascii="Times New Roman" w:eastAsia="Times New Roman" w:hAnsi="Times New Roman"/>
      <w:kern w:val="28"/>
      <w:sz w:val="18"/>
    </w:rPr>
  </w:style>
  <w:style w:type="character" w:customStyle="1" w:styleId="CharChar1">
    <w:name w:val="Char Char1"/>
    <w:semiHidden/>
    <w:locked/>
    <w:rsid w:val="00C65927"/>
    <w:rPr>
      <w:lang w:val="ru-RU" w:eastAsia="ru-RU"/>
    </w:rPr>
  </w:style>
  <w:style w:type="paragraph" w:customStyle="1" w:styleId="EMAStyle2">
    <w:name w:val="EMA Style 2"/>
    <w:basedOn w:val="EMEAstyle2"/>
    <w:rsid w:val="00C65927"/>
    <w:rPr>
      <w:color w:val="000000"/>
    </w:rPr>
  </w:style>
  <w:style w:type="character" w:customStyle="1" w:styleId="AnnotationtextCharChar">
    <w:name w:val="Annotationtext Char Char"/>
    <w:semiHidden/>
    <w:rsid w:val="00C65927"/>
    <w:rPr>
      <w:lang w:val="ru-RU" w:eastAsia="ru-RU"/>
    </w:rPr>
  </w:style>
  <w:style w:type="paragraph" w:customStyle="1" w:styleId="Tablecentredbold">
    <w:name w:val="Table centred bold"/>
    <w:basedOn w:val="TableLeft"/>
    <w:rsid w:val="00C65927"/>
    <w:pPr>
      <w:keepNext/>
      <w:keepLines/>
      <w:jc w:val="center"/>
    </w:pPr>
    <w:rPr>
      <w:b/>
      <w:bCs/>
      <w:noProof/>
    </w:rPr>
  </w:style>
  <w:style w:type="paragraph" w:customStyle="1" w:styleId="TableleftCAPS">
    <w:name w:val="Table left CAPS"/>
    <w:basedOn w:val="TableLeft"/>
    <w:rsid w:val="00C65927"/>
    <w:pPr>
      <w:keepNext/>
      <w:keepLines/>
    </w:pPr>
    <w:rPr>
      <w:rFonts w:ascii="Times New Roman Bold" w:hAnsi="Times New Roman Bold"/>
      <w:b/>
      <w:bCs/>
      <w:i/>
      <w:iCs/>
      <w:caps/>
      <w:noProof/>
    </w:rPr>
  </w:style>
  <w:style w:type="paragraph" w:customStyle="1" w:styleId="TableleftIT">
    <w:name w:val="Table left IT"/>
    <w:basedOn w:val="TableLeft"/>
    <w:rsid w:val="00C65927"/>
    <w:pPr>
      <w:keepNext/>
      <w:keepLines/>
    </w:pPr>
    <w:rPr>
      <w:rFonts w:eastAsia="SimSun"/>
      <w:i/>
      <w:szCs w:val="22"/>
    </w:rPr>
  </w:style>
  <w:style w:type="paragraph" w:styleId="affff7">
    <w:name w:val="Revision"/>
    <w:hidden/>
    <w:uiPriority w:val="99"/>
    <w:semiHidden/>
    <w:rsid w:val="00C65927"/>
    <w:rPr>
      <w:rFonts w:ascii="Times New Roman" w:eastAsia="Times New Roman" w:hAnsi="Times New Roman"/>
      <w:sz w:val="22"/>
    </w:rPr>
  </w:style>
  <w:style w:type="character" w:customStyle="1" w:styleId="CommentTextChar1">
    <w:name w:val="Comment Text Char1"/>
    <w:rsid w:val="00C65927"/>
    <w:rPr>
      <w:lang w:val="ru-RU" w:eastAsia="ru-RU"/>
    </w:rPr>
  </w:style>
  <w:style w:type="character" w:customStyle="1" w:styleId="refgroup">
    <w:name w:val="ref_group"/>
    <w:rsid w:val="00C65927"/>
  </w:style>
  <w:style w:type="character" w:customStyle="1" w:styleId="refreference">
    <w:name w:val="ref_reference"/>
    <w:rsid w:val="00C65927"/>
  </w:style>
  <w:style w:type="character" w:customStyle="1" w:styleId="textbluebold">
    <w:name w:val="textbluebold"/>
    <w:rsid w:val="00C65927"/>
  </w:style>
  <w:style w:type="paragraph" w:customStyle="1" w:styleId="TableHeaderCenter">
    <w:name w:val="Table Header Center"/>
    <w:basedOn w:val="a1"/>
    <w:rsid w:val="00C65927"/>
    <w:pPr>
      <w:spacing w:before="60" w:after="60" w:line="240" w:lineRule="auto"/>
      <w:jc w:val="center"/>
    </w:pPr>
    <w:rPr>
      <w:rFonts w:ascii="Times New Roman Bold" w:eastAsia="Arial Unicode MS" w:hAnsi="Times New Roman Bold"/>
      <w:b/>
      <w:color w:val="000000"/>
      <w:kern w:val="28"/>
      <w:sz w:val="20"/>
      <w:szCs w:val="24"/>
      <w:lang w:eastAsia="ru-RU"/>
    </w:rPr>
  </w:style>
  <w:style w:type="paragraph" w:customStyle="1" w:styleId="TableCellCenter">
    <w:name w:val="Table Cell Center"/>
    <w:basedOn w:val="a1"/>
    <w:rsid w:val="00C65927"/>
    <w:pPr>
      <w:spacing w:before="60" w:after="60" w:line="240" w:lineRule="auto"/>
      <w:jc w:val="center"/>
    </w:pPr>
    <w:rPr>
      <w:rFonts w:ascii="Times New Roman" w:eastAsia="Arial Unicode MS" w:hAnsi="Times New Roman"/>
      <w:color w:val="000000"/>
      <w:kern w:val="28"/>
      <w:sz w:val="20"/>
      <w:szCs w:val="24"/>
      <w:lang w:eastAsia="ru-RU"/>
    </w:rPr>
  </w:style>
  <w:style w:type="paragraph" w:customStyle="1" w:styleId="RefAgency">
    <w:name w:val="Ref. (Agency)"/>
    <w:basedOn w:val="Default"/>
    <w:next w:val="Default"/>
    <w:uiPriority w:val="99"/>
    <w:rsid w:val="00C65927"/>
    <w:rPr>
      <w:rFonts w:ascii="Verdana" w:hAnsi="Verdana"/>
      <w:lang w:eastAsia="ru-RU"/>
    </w:rPr>
  </w:style>
  <w:style w:type="character" w:customStyle="1" w:styleId="PIHeading2Char">
    <w:name w:val="PI Heading 2 Char"/>
    <w:link w:val="PIHeading2"/>
    <w:locked/>
    <w:rsid w:val="00C65927"/>
    <w:rPr>
      <w:rFonts w:ascii="Arial" w:hAnsi="Arial"/>
      <w:b/>
    </w:rPr>
  </w:style>
  <w:style w:type="paragraph" w:customStyle="1" w:styleId="PIHeading2">
    <w:name w:val="PI Heading 2"/>
    <w:basedOn w:val="a1"/>
    <w:link w:val="PIHeading2Char"/>
    <w:rsid w:val="00C65927"/>
    <w:pPr>
      <w:keepNext/>
      <w:spacing w:before="360" w:after="120" w:line="240" w:lineRule="auto"/>
    </w:pPr>
    <w:rPr>
      <w:rFonts w:ascii="Arial" w:hAnsi="Arial"/>
      <w:b/>
      <w:sz w:val="20"/>
      <w:szCs w:val="20"/>
      <w:lang w:eastAsia="ru-RU"/>
    </w:rPr>
  </w:style>
  <w:style w:type="table" w:customStyle="1" w:styleId="TableGrid1">
    <w:name w:val="Table Grid1"/>
    <w:basedOn w:val="a3"/>
    <w:next w:val="aff0"/>
    <w:uiPriority w:val="59"/>
    <w:rsid w:val="00C65927"/>
    <w:pPr>
      <w:tabs>
        <w:tab w:val="left" w:pos="567"/>
      </w:tabs>
      <w:spacing w:line="260" w:lineRule="exact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a1"/>
    <w:rsid w:val="00C65927"/>
    <w:pPr>
      <w:suppressAutoHyphens/>
      <w:spacing w:before="280" w:after="75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35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uruslabs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FCE7-2CB2-43A1-9CC8-83830703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12795</Words>
  <Characters>72934</Characters>
  <Application>Microsoft Office Word</Application>
  <DocSecurity>0</DocSecurity>
  <Lines>607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85558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5308520</vt:i4>
      </vt:variant>
      <vt:variant>
        <vt:i4>3</vt:i4>
      </vt:variant>
      <vt:variant>
        <vt:i4>0</vt:i4>
      </vt:variant>
      <vt:variant>
        <vt:i4>5</vt:i4>
      </vt:variant>
      <vt:variant>
        <vt:lpwstr>mailto:info@lauruslabs.com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</cp:revision>
  <cp:lastPrinted>2019-11-18T06:17:00Z</cp:lastPrinted>
  <dcterms:created xsi:type="dcterms:W3CDTF">2024-08-21T05:30:00Z</dcterms:created>
  <dcterms:modified xsi:type="dcterms:W3CDTF">2025-07-07T12:42:00Z</dcterms:modified>
</cp:coreProperties>
</file>